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宋体" w:hAnsi="宋体" w:eastAsia="宋体" w:cs="宋体"/>
          <w:b/>
          <w:bCs/>
          <w:color w:val="000000" w:themeColor="text1"/>
          <w:sz w:val="44"/>
          <w:szCs w:val="44"/>
          <w:lang w:val="en-US" w:eastAsia="zh-CN"/>
          <w14:textFill>
            <w14:solidFill>
              <w14:schemeClr w14:val="tx1"/>
            </w14:solidFill>
          </w14:textFill>
        </w:rPr>
      </w:pPr>
    </w:p>
    <w:p>
      <w:pPr>
        <w:pStyle w:val="17"/>
        <w:rPr>
          <w:rFonts w:hint="eastAsia"/>
          <w:color w:val="000000" w:themeColor="text1"/>
          <w:lang w:val="en-US" w:eastAsia="zh-CN"/>
          <w14:textFill>
            <w14:solidFill>
              <w14:schemeClr w14:val="tx1"/>
            </w14:solidFill>
          </w14:textFill>
        </w:rPr>
      </w:pPr>
    </w:p>
    <w:p>
      <w:pPr>
        <w:jc w:val="center"/>
        <w:outlineLvl w:val="0"/>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bookmarkStart w:id="0" w:name="_Toc15793"/>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青山区城市视频监控运维项目“5·17”</w:t>
      </w:r>
      <w:bookmarkEnd w:id="0"/>
    </w:p>
    <w:p>
      <w:pPr>
        <w:jc w:val="center"/>
        <w:outlineLvl w:val="0"/>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bookmarkStart w:id="1" w:name="_Toc25028"/>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一般触电安全事故调查报告</w:t>
      </w:r>
      <w:bookmarkEnd w:id="1"/>
    </w:p>
    <w:p>
      <w:pPr>
        <w:pStyle w:val="10"/>
        <w:ind w:left="0" w:leftChars="0" w:firstLine="0" w:firstLineChars="0"/>
        <w:jc w:val="both"/>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p>
    <w:p>
      <w:pPr>
        <w:jc w:val="both"/>
        <w:rPr>
          <w:rFonts w:hint="eastAsia" w:ascii="方正小标宋简体" w:hAnsi="方正小标宋简体" w:eastAsia="方正小标宋简体" w:cs="方正小标宋简体"/>
          <w:b/>
          <w:bCs/>
          <w:color w:val="000000" w:themeColor="text1"/>
          <w:sz w:val="44"/>
          <w:szCs w:val="44"/>
          <w:lang w:val="en-US" w:eastAsia="zh-CN"/>
          <w14:textFill>
            <w14:solidFill>
              <w14:schemeClr w14:val="tx1"/>
            </w14:solidFill>
          </w14:textFill>
        </w:rPr>
      </w:pPr>
    </w:p>
    <w:p>
      <w:pPr>
        <w:jc w:val="both"/>
        <w:rPr>
          <w:rFonts w:hint="eastAsia" w:ascii="宋体" w:hAnsi="宋体" w:eastAsia="宋体" w:cs="宋体"/>
          <w:b/>
          <w:bCs/>
          <w:color w:val="000000" w:themeColor="text1"/>
          <w:sz w:val="48"/>
          <w:szCs w:val="48"/>
          <w:lang w:val="en-US" w:eastAsia="zh-CN"/>
          <w14:textFill>
            <w14:solidFill>
              <w14:schemeClr w14:val="tx1"/>
            </w14:solidFill>
          </w14:textFill>
        </w:rPr>
      </w:pPr>
    </w:p>
    <w:p>
      <w:pPr>
        <w:jc w:val="both"/>
        <w:rPr>
          <w:rFonts w:hint="eastAsia" w:ascii="宋体" w:hAnsi="宋体" w:eastAsia="宋体" w:cs="宋体"/>
          <w:b/>
          <w:bCs/>
          <w:color w:val="000000" w:themeColor="text1"/>
          <w:sz w:val="48"/>
          <w:szCs w:val="48"/>
          <w:lang w:val="en-US" w:eastAsia="zh-CN"/>
          <w14:textFill>
            <w14:solidFill>
              <w14:schemeClr w14:val="tx1"/>
            </w14:solidFill>
          </w14:textFill>
        </w:rPr>
      </w:pPr>
    </w:p>
    <w:p>
      <w:pPr>
        <w:jc w:val="both"/>
        <w:rPr>
          <w:rFonts w:hint="eastAsia" w:ascii="宋体" w:hAnsi="宋体" w:eastAsia="宋体" w:cs="宋体"/>
          <w:b/>
          <w:bCs/>
          <w:color w:val="000000" w:themeColor="text1"/>
          <w:sz w:val="48"/>
          <w:szCs w:val="48"/>
          <w:lang w:val="en-US" w:eastAsia="zh-CN"/>
          <w14:textFill>
            <w14:solidFill>
              <w14:schemeClr w14:val="tx1"/>
            </w14:solidFill>
          </w14:textFill>
        </w:rPr>
      </w:pPr>
    </w:p>
    <w:p>
      <w:pPr>
        <w:jc w:val="both"/>
        <w:rPr>
          <w:rFonts w:hint="eastAsia" w:ascii="宋体" w:hAnsi="宋体" w:eastAsia="宋体" w:cs="宋体"/>
          <w:b/>
          <w:bCs/>
          <w:color w:val="000000" w:themeColor="text1"/>
          <w:sz w:val="48"/>
          <w:szCs w:val="48"/>
          <w:lang w:val="en-US" w:eastAsia="zh-CN"/>
          <w14:textFill>
            <w14:solidFill>
              <w14:schemeClr w14:val="tx1"/>
            </w14:solidFill>
          </w14:textFill>
        </w:rPr>
      </w:pPr>
    </w:p>
    <w:p>
      <w:pPr>
        <w:jc w:val="both"/>
        <w:rPr>
          <w:rFonts w:hint="eastAsia" w:ascii="宋体" w:hAnsi="宋体" w:eastAsia="宋体" w:cs="宋体"/>
          <w:b/>
          <w:bCs/>
          <w:color w:val="000000" w:themeColor="text1"/>
          <w:sz w:val="48"/>
          <w:szCs w:val="48"/>
          <w:lang w:val="en-US" w:eastAsia="zh-CN"/>
          <w14:textFill>
            <w14:solidFill>
              <w14:schemeClr w14:val="tx1"/>
            </w14:solidFill>
          </w14:textFill>
        </w:rPr>
      </w:pPr>
    </w:p>
    <w:p>
      <w:pPr>
        <w:jc w:val="both"/>
        <w:rPr>
          <w:rFonts w:hint="eastAsia" w:ascii="宋体" w:hAnsi="宋体" w:eastAsia="宋体" w:cs="宋体"/>
          <w:b/>
          <w:bCs/>
          <w:color w:val="000000" w:themeColor="text1"/>
          <w:sz w:val="48"/>
          <w:szCs w:val="48"/>
          <w:lang w:val="en-US" w:eastAsia="zh-CN"/>
          <w14:textFill>
            <w14:solidFill>
              <w14:schemeClr w14:val="tx1"/>
            </w14:solidFill>
          </w14:textFill>
        </w:rPr>
      </w:pPr>
    </w:p>
    <w:p>
      <w:pPr>
        <w:pStyle w:val="17"/>
        <w:ind w:left="0" w:leftChars="0" w:firstLine="0" w:firstLineChars="0"/>
        <w:rPr>
          <w:rFonts w:hint="eastAsia" w:ascii="宋体" w:hAnsi="宋体" w:eastAsia="宋体" w:cs="宋体"/>
          <w:b/>
          <w:bCs/>
          <w:color w:val="000000" w:themeColor="text1"/>
          <w:sz w:val="48"/>
          <w:szCs w:val="48"/>
          <w:lang w:val="en-US" w:eastAsia="zh-CN"/>
          <w14:textFill>
            <w14:solidFill>
              <w14:schemeClr w14:val="tx1"/>
            </w14:solidFill>
          </w14:textFill>
        </w:rPr>
      </w:pPr>
    </w:p>
    <w:p>
      <w:pPr>
        <w:jc w:val="both"/>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p>
    <w:p>
      <w:pPr>
        <w:jc w:val="both"/>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p>
    <w:p>
      <w:pPr>
        <w:jc w:val="cente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p>
    <w:p>
      <w:pPr>
        <w:jc w:val="cente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青山区“5·17”一般触电安全事故调查组</w:t>
      </w:r>
    </w:p>
    <w:sdt>
      <w:sdtPr>
        <w:rPr>
          <w:rFonts w:ascii="宋体" w:hAnsi="宋体" w:eastAsia="宋体" w:cstheme="minorBidi"/>
          <w:b/>
          <w:bCs/>
          <w:kern w:val="2"/>
          <w:sz w:val="32"/>
          <w:szCs w:val="32"/>
          <w:lang w:val="en-US" w:eastAsia="zh-CN" w:bidi="ar-SA"/>
        </w:rPr>
        <w:id w:val="147479846"/>
        <w15:color w:val="DBDBDB"/>
        <w:docPartObj>
          <w:docPartGallery w:val="Table of Contents"/>
          <w:docPartUnique/>
        </w:docPartObj>
      </w:sdtPr>
      <w:sdtEndPr>
        <w:rPr>
          <w:rFonts w:ascii="宋体" w:hAnsi="宋体" w:eastAsia="宋体" w:cstheme="minorBidi"/>
          <w:b/>
          <w:bCs/>
          <w:kern w:val="2"/>
          <w:sz w:val="21"/>
          <w:szCs w:val="24"/>
          <w:lang w:val="en-US" w:eastAsia="zh-CN" w:bidi="ar-SA"/>
        </w:rPr>
      </w:sdtEndPr>
      <w:sdtContent>
        <w:p>
          <w:pPr>
            <w:jc w:val="center"/>
            <w:rPr>
              <w:rFonts w:ascii="宋体" w:hAnsi="宋体" w:eastAsia="宋体" w:cstheme="minorBidi"/>
              <w:b/>
              <w:bCs/>
              <w:kern w:val="2"/>
              <w:sz w:val="32"/>
              <w:szCs w:val="32"/>
              <w:lang w:val="en-US" w:eastAsia="zh-CN" w:bidi="ar-SA"/>
            </w:rPr>
          </w:pPr>
        </w:p>
        <w:p>
          <w:pPr>
            <w:jc w:val="center"/>
            <w:rPr>
              <w:rFonts w:ascii="宋体" w:hAnsi="宋体" w:eastAsia="宋体" w:cstheme="minorBidi"/>
              <w:b/>
              <w:bCs/>
              <w:kern w:val="2"/>
              <w:sz w:val="32"/>
              <w:szCs w:val="32"/>
              <w:lang w:val="en-US" w:eastAsia="zh-CN" w:bidi="ar-SA"/>
            </w:rPr>
          </w:pPr>
        </w:p>
        <w:p>
          <w:pPr>
            <w:jc w:val="center"/>
            <w:rPr>
              <w:rFonts w:ascii="宋体" w:hAnsi="宋体" w:eastAsia="宋体" w:cstheme="minorBidi"/>
              <w:b/>
              <w:bCs/>
              <w:kern w:val="2"/>
              <w:sz w:val="32"/>
              <w:szCs w:val="32"/>
              <w:lang w:val="en-US" w:eastAsia="zh-CN" w:bidi="ar-SA"/>
            </w:rPr>
          </w:pPr>
        </w:p>
        <w:p>
          <w:pPr>
            <w:jc w:val="center"/>
            <w:rPr>
              <w:rFonts w:ascii="宋体" w:hAnsi="宋体" w:eastAsia="宋体" w:cstheme="minorBidi"/>
              <w:b/>
              <w:bCs/>
              <w:kern w:val="2"/>
              <w:sz w:val="32"/>
              <w:szCs w:val="32"/>
              <w:lang w:val="en-US" w:eastAsia="zh-CN" w:bidi="ar-SA"/>
            </w:rPr>
          </w:pPr>
        </w:p>
        <w:p>
          <w:pPr>
            <w:jc w:val="center"/>
            <w:rPr>
              <w:rFonts w:ascii="宋体" w:hAnsi="宋体" w:eastAsia="宋体" w:cstheme="minorBidi"/>
              <w:b/>
              <w:bCs/>
              <w:kern w:val="2"/>
              <w:sz w:val="32"/>
              <w:szCs w:val="32"/>
              <w:lang w:val="en-US" w:eastAsia="zh-CN" w:bidi="ar-SA"/>
            </w:rPr>
          </w:pPr>
        </w:p>
        <w:p>
          <w:pPr>
            <w:jc w:val="center"/>
            <w:rPr>
              <w:rFonts w:ascii="宋体" w:hAnsi="宋体" w:eastAsia="宋体" w:cstheme="minorBidi"/>
              <w:b/>
              <w:bCs/>
              <w:kern w:val="2"/>
              <w:sz w:val="32"/>
              <w:szCs w:val="32"/>
              <w:lang w:val="en-US" w:eastAsia="zh-CN" w:bidi="ar-SA"/>
            </w:rPr>
          </w:pPr>
        </w:p>
        <w:p>
          <w:pPr>
            <w:jc w:val="center"/>
            <w:rPr>
              <w:rFonts w:ascii="宋体" w:hAnsi="宋体" w:eastAsia="宋体" w:cstheme="minorBidi"/>
              <w:b/>
              <w:bCs/>
              <w:kern w:val="2"/>
              <w:sz w:val="32"/>
              <w:szCs w:val="32"/>
              <w:lang w:val="en-US" w:eastAsia="zh-CN" w:bidi="ar-SA"/>
            </w:rPr>
          </w:pPr>
        </w:p>
        <w:p>
          <w:pPr>
            <w:jc w:val="center"/>
            <w:rPr>
              <w:rFonts w:ascii="宋体" w:hAnsi="宋体" w:eastAsia="宋体" w:cstheme="minorBidi"/>
              <w:b/>
              <w:bCs/>
              <w:kern w:val="2"/>
              <w:sz w:val="32"/>
              <w:szCs w:val="32"/>
              <w:lang w:val="en-US" w:eastAsia="zh-CN" w:bidi="ar-SA"/>
            </w:rPr>
          </w:pPr>
        </w:p>
        <w:p>
          <w:pPr>
            <w:jc w:val="center"/>
            <w:rPr>
              <w:rFonts w:ascii="宋体" w:hAnsi="宋体" w:eastAsia="宋体" w:cstheme="minorBidi"/>
              <w:b/>
              <w:bCs/>
              <w:kern w:val="2"/>
              <w:sz w:val="32"/>
              <w:szCs w:val="32"/>
              <w:lang w:val="en-US" w:eastAsia="zh-CN" w:bidi="ar-SA"/>
            </w:rPr>
          </w:pPr>
        </w:p>
        <w:p>
          <w:pPr>
            <w:jc w:val="center"/>
            <w:rPr>
              <w:rFonts w:ascii="宋体" w:hAnsi="宋体" w:eastAsia="宋体" w:cstheme="minorBidi"/>
              <w:b/>
              <w:bCs/>
              <w:kern w:val="2"/>
              <w:sz w:val="32"/>
              <w:szCs w:val="32"/>
              <w:lang w:val="en-US" w:eastAsia="zh-CN" w:bidi="ar-SA"/>
            </w:rPr>
          </w:pPr>
        </w:p>
        <w:p>
          <w:pPr>
            <w:jc w:val="center"/>
            <w:rPr>
              <w:rFonts w:ascii="宋体" w:hAnsi="宋体" w:eastAsia="宋体" w:cstheme="minorBidi"/>
              <w:b/>
              <w:bCs/>
              <w:kern w:val="2"/>
              <w:sz w:val="32"/>
              <w:szCs w:val="32"/>
              <w:lang w:val="en-US" w:eastAsia="zh-CN" w:bidi="ar-SA"/>
            </w:rPr>
          </w:pPr>
        </w:p>
        <w:p>
          <w:pPr>
            <w:jc w:val="center"/>
            <w:rPr>
              <w:rFonts w:ascii="宋体" w:hAnsi="宋体" w:eastAsia="宋体" w:cstheme="minorBidi"/>
              <w:b/>
              <w:bCs/>
              <w:kern w:val="2"/>
              <w:sz w:val="32"/>
              <w:szCs w:val="32"/>
              <w:lang w:val="en-US" w:eastAsia="zh-CN" w:bidi="ar-SA"/>
            </w:rPr>
          </w:pPr>
        </w:p>
        <w:p>
          <w:pPr>
            <w:jc w:val="center"/>
            <w:rPr>
              <w:rFonts w:ascii="宋体" w:hAnsi="宋体" w:eastAsia="宋体" w:cstheme="minorBidi"/>
              <w:b/>
              <w:bCs/>
              <w:kern w:val="2"/>
              <w:sz w:val="32"/>
              <w:szCs w:val="32"/>
              <w:lang w:val="en-US" w:eastAsia="zh-CN" w:bidi="ar-SA"/>
            </w:rPr>
          </w:pPr>
        </w:p>
        <w:p>
          <w:pPr>
            <w:jc w:val="center"/>
            <w:rPr>
              <w:rFonts w:ascii="宋体" w:hAnsi="宋体" w:eastAsia="宋体" w:cstheme="minorBidi"/>
              <w:b/>
              <w:bCs/>
              <w:kern w:val="2"/>
              <w:sz w:val="32"/>
              <w:szCs w:val="32"/>
              <w:lang w:val="en-US" w:eastAsia="zh-CN" w:bidi="ar-SA"/>
            </w:rPr>
          </w:pPr>
        </w:p>
        <w:p>
          <w:pPr>
            <w:jc w:val="center"/>
            <w:rPr>
              <w:rFonts w:ascii="宋体" w:hAnsi="宋体" w:eastAsia="宋体" w:cstheme="minorBidi"/>
              <w:b/>
              <w:bCs/>
              <w:kern w:val="2"/>
              <w:sz w:val="32"/>
              <w:szCs w:val="32"/>
              <w:lang w:val="en-US" w:eastAsia="zh-CN" w:bidi="ar-SA"/>
            </w:rPr>
          </w:pPr>
        </w:p>
        <w:p>
          <w:pPr>
            <w:jc w:val="center"/>
            <w:rPr>
              <w:rFonts w:ascii="宋体" w:hAnsi="宋体" w:eastAsia="宋体" w:cstheme="minorBidi"/>
              <w:b/>
              <w:bCs/>
              <w:kern w:val="2"/>
              <w:sz w:val="32"/>
              <w:szCs w:val="32"/>
              <w:lang w:val="en-US" w:eastAsia="zh-CN" w:bidi="ar-SA"/>
            </w:rPr>
          </w:pPr>
        </w:p>
        <w:p>
          <w:pPr>
            <w:jc w:val="center"/>
            <w:rPr>
              <w:rFonts w:ascii="宋体" w:hAnsi="宋体" w:eastAsia="宋体" w:cstheme="minorBidi"/>
              <w:b/>
              <w:bCs/>
              <w:kern w:val="2"/>
              <w:sz w:val="32"/>
              <w:szCs w:val="32"/>
              <w:lang w:val="en-US" w:eastAsia="zh-CN" w:bidi="ar-SA"/>
            </w:rPr>
          </w:pPr>
        </w:p>
        <w:p>
          <w:pPr>
            <w:jc w:val="center"/>
            <w:rPr>
              <w:rFonts w:ascii="宋体" w:hAnsi="宋体" w:eastAsia="宋体" w:cstheme="minorBidi"/>
              <w:b/>
              <w:bCs/>
              <w:kern w:val="2"/>
              <w:sz w:val="32"/>
              <w:szCs w:val="32"/>
              <w:lang w:val="en-US" w:eastAsia="zh-CN" w:bidi="ar-SA"/>
            </w:rPr>
          </w:pPr>
        </w:p>
        <w:p>
          <w:pPr>
            <w:jc w:val="center"/>
            <w:rPr>
              <w:rFonts w:ascii="宋体" w:hAnsi="宋体" w:eastAsia="宋体" w:cstheme="minorBidi"/>
              <w:b/>
              <w:bCs/>
              <w:kern w:val="2"/>
              <w:sz w:val="32"/>
              <w:szCs w:val="32"/>
              <w:lang w:val="en-US" w:eastAsia="zh-CN" w:bidi="ar-SA"/>
            </w:rPr>
          </w:pPr>
        </w:p>
        <w:p>
          <w:pPr>
            <w:jc w:val="center"/>
            <w:rPr>
              <w:rFonts w:ascii="宋体" w:hAnsi="宋体" w:eastAsia="宋体" w:cstheme="minorBidi"/>
              <w:b/>
              <w:bCs/>
              <w:kern w:val="2"/>
              <w:sz w:val="32"/>
              <w:szCs w:val="32"/>
              <w:lang w:val="en-US" w:eastAsia="zh-CN" w:bidi="ar-SA"/>
            </w:rPr>
          </w:pPr>
        </w:p>
        <w:p>
          <w:pPr>
            <w:jc w:val="both"/>
            <w:rPr>
              <w:rFonts w:ascii="宋体" w:hAnsi="宋体" w:eastAsia="宋体" w:cstheme="minorBidi"/>
              <w:b/>
              <w:bCs/>
              <w:kern w:val="2"/>
              <w:sz w:val="32"/>
              <w:szCs w:val="32"/>
              <w:lang w:val="en-US" w:eastAsia="zh-CN" w:bidi="ar-SA"/>
            </w:rPr>
          </w:pPr>
        </w:p>
        <w:p>
          <w:pPr>
            <w:jc w:val="center"/>
          </w:pPr>
          <w:r>
            <w:rPr>
              <w:rFonts w:hint="eastAsia" w:ascii="宋体" w:hAnsi="宋体" w:eastAsia="宋体" w:cs="宋体"/>
              <w:b/>
              <w:bCs/>
              <w:sz w:val="32"/>
              <w:szCs w:val="32"/>
            </w:rPr>
            <w:t>目</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rPr>
            <w:t>录</w:t>
          </w:r>
          <w:r>
            <w:fldChar w:fldCharType="begin"/>
          </w:r>
          <w:r>
            <w:instrText xml:space="preserve">TOC \o "1-2" \h \u </w:instrText>
          </w:r>
          <w:r>
            <w:fldChar w:fldCharType="separate"/>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06" w:lineRule="exact"/>
            <w:textAlignment w:val="auto"/>
            <w:rPr>
              <w:sz w:val="24"/>
              <w:szCs w:val="24"/>
            </w:rPr>
          </w:pPr>
          <w:r>
            <w:rPr>
              <w:sz w:val="24"/>
              <w:szCs w:val="24"/>
            </w:rPr>
            <w:fldChar w:fldCharType="begin"/>
          </w:r>
          <w:r>
            <w:rPr>
              <w:sz w:val="24"/>
              <w:szCs w:val="24"/>
            </w:rPr>
            <w:instrText xml:space="preserve"> HYPERLINK \l _Toc22108 </w:instrText>
          </w:r>
          <w:r>
            <w:rPr>
              <w:sz w:val="24"/>
              <w:szCs w:val="24"/>
            </w:rPr>
            <w:fldChar w:fldCharType="separate"/>
          </w:r>
          <w:r>
            <w:rPr>
              <w:rFonts w:hint="eastAsia" w:ascii="黑体" w:hAnsi="黑体" w:eastAsia="黑体" w:cs="黑体"/>
              <w:sz w:val="24"/>
              <w:szCs w:val="24"/>
              <w:lang w:val="en-US" w:eastAsia="zh-CN"/>
            </w:rPr>
            <w:t>一、事故基本情况</w:t>
          </w:r>
          <w:r>
            <w:rPr>
              <w:sz w:val="24"/>
              <w:szCs w:val="24"/>
            </w:rPr>
            <w:tab/>
          </w:r>
          <w:r>
            <w:rPr>
              <w:sz w:val="24"/>
              <w:szCs w:val="24"/>
            </w:rPr>
            <w:fldChar w:fldCharType="begin"/>
          </w:r>
          <w:r>
            <w:rPr>
              <w:sz w:val="24"/>
              <w:szCs w:val="24"/>
            </w:rPr>
            <w:instrText xml:space="preserve"> PAGEREF _Toc22108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06"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_Toc6195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（一）事故项目基本情况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_Toc6195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06"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_Toc2541 </w:instrText>
          </w:r>
          <w:r>
            <w:rPr>
              <w:rFonts w:hint="eastAsia" w:ascii="宋体" w:hAnsi="宋体" w:eastAsia="宋体" w:cs="宋体"/>
              <w:sz w:val="24"/>
              <w:szCs w:val="24"/>
            </w:rPr>
            <w:fldChar w:fldCharType="separate"/>
          </w:r>
          <w:r>
            <w:rPr>
              <w:rFonts w:hint="eastAsia" w:ascii="宋体" w:hAnsi="宋体" w:eastAsia="宋体" w:cs="宋体"/>
              <w:bCs/>
              <w:kern w:val="2"/>
              <w:sz w:val="24"/>
              <w:szCs w:val="24"/>
              <w:lang w:val="en-US" w:eastAsia="zh-CN" w:bidi="ar-SA"/>
            </w:rPr>
            <w:t>（二）事故高压线路基本情况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_Toc2541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06"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_Toc9198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（三）事故发生单位及有关单位概况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_Toc9198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06"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_Toc31275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（四）事故发生单位安全管理情况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_Toc31275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06"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_Toc32502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（五）事故发生经过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_Toc32502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06"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_Toc17757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（六）事故现场情况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_Toc17757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06"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_Toc2645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（七）人员伤亡和直接经济损失情况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_Toc2645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06"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_Toc21655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（八）事故项目有关情况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_Toc21655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06"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_Toc17730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（九）事故高压线路有关情况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_Toc17730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06" w:lineRule="exact"/>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_Toc29722 </w:instrText>
          </w:r>
          <w:r>
            <w:rPr>
              <w:rFonts w:hint="eastAsia" w:ascii="宋体" w:hAnsi="宋体" w:eastAsia="宋体" w:cs="宋体"/>
              <w:sz w:val="24"/>
              <w:szCs w:val="24"/>
            </w:rPr>
            <w:fldChar w:fldCharType="separate"/>
          </w:r>
          <w:r>
            <w:rPr>
              <w:rFonts w:hint="eastAsia" w:ascii="宋体" w:hAnsi="宋体" w:eastAsia="宋体" w:cs="宋体"/>
              <w:bCs/>
              <w:kern w:val="2"/>
              <w:sz w:val="24"/>
              <w:szCs w:val="24"/>
              <w:lang w:val="en-US" w:eastAsia="zh-CN" w:bidi="ar-SA"/>
            </w:rPr>
            <w:t>（十一）其他情况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_Toc29722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06" w:lineRule="exact"/>
            <w:textAlignment w:val="auto"/>
            <w:rPr>
              <w:sz w:val="24"/>
              <w:szCs w:val="24"/>
            </w:rPr>
          </w:pPr>
          <w:r>
            <w:rPr>
              <w:sz w:val="24"/>
              <w:szCs w:val="24"/>
            </w:rPr>
            <w:fldChar w:fldCharType="begin"/>
          </w:r>
          <w:r>
            <w:rPr>
              <w:sz w:val="24"/>
              <w:szCs w:val="24"/>
            </w:rPr>
            <w:instrText xml:space="preserve"> HYPERLINK \l _Toc18029 </w:instrText>
          </w:r>
          <w:r>
            <w:rPr>
              <w:sz w:val="24"/>
              <w:szCs w:val="24"/>
            </w:rPr>
            <w:fldChar w:fldCharType="separate"/>
          </w:r>
          <w:r>
            <w:rPr>
              <w:rFonts w:hint="eastAsia" w:ascii="黑体" w:hAnsi="黑体" w:eastAsia="黑体" w:cs="黑体"/>
              <w:sz w:val="24"/>
              <w:szCs w:val="24"/>
              <w:lang w:val="en-US" w:eastAsia="zh-CN"/>
            </w:rPr>
            <w:t>二、事故应急处置及评估情况</w:t>
          </w:r>
          <w:r>
            <w:rPr>
              <w:sz w:val="24"/>
              <w:szCs w:val="24"/>
            </w:rPr>
            <w:tab/>
          </w:r>
          <w:r>
            <w:rPr>
              <w:sz w:val="24"/>
              <w:szCs w:val="24"/>
            </w:rPr>
            <w:fldChar w:fldCharType="begin"/>
          </w:r>
          <w:r>
            <w:rPr>
              <w:sz w:val="24"/>
              <w:szCs w:val="24"/>
            </w:rPr>
            <w:instrText xml:space="preserve"> PAGEREF _Toc18029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06"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_Toc13402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（一）事故信息接报及响应情况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_Toc13402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06"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_Toc26690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（二）事故现场应急处置情况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_Toc26690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06" w:lineRule="exact"/>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_Toc4458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（三）事故应急处置评估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_Toc4458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06" w:lineRule="exact"/>
            <w:textAlignment w:val="auto"/>
            <w:rPr>
              <w:sz w:val="24"/>
              <w:szCs w:val="24"/>
            </w:rPr>
          </w:pPr>
          <w:r>
            <w:rPr>
              <w:sz w:val="24"/>
              <w:szCs w:val="24"/>
            </w:rPr>
            <w:fldChar w:fldCharType="begin"/>
          </w:r>
          <w:r>
            <w:rPr>
              <w:sz w:val="24"/>
              <w:szCs w:val="24"/>
            </w:rPr>
            <w:instrText xml:space="preserve"> HYPERLINK \l _Toc6495 </w:instrText>
          </w:r>
          <w:r>
            <w:rPr>
              <w:sz w:val="24"/>
              <w:szCs w:val="24"/>
            </w:rPr>
            <w:fldChar w:fldCharType="separate"/>
          </w:r>
          <w:r>
            <w:rPr>
              <w:rFonts w:hint="eastAsia" w:ascii="黑体" w:hAnsi="黑体" w:eastAsia="黑体" w:cs="黑体"/>
              <w:sz w:val="24"/>
              <w:szCs w:val="24"/>
              <w:lang w:val="en-US" w:eastAsia="zh-CN"/>
            </w:rPr>
            <w:t>三、事故原因分析</w:t>
          </w:r>
          <w:r>
            <w:rPr>
              <w:sz w:val="24"/>
              <w:szCs w:val="24"/>
            </w:rPr>
            <w:tab/>
          </w:r>
          <w:r>
            <w:rPr>
              <w:sz w:val="24"/>
              <w:szCs w:val="24"/>
            </w:rPr>
            <w:fldChar w:fldCharType="begin"/>
          </w:r>
          <w:r>
            <w:rPr>
              <w:sz w:val="24"/>
              <w:szCs w:val="24"/>
            </w:rPr>
            <w:instrText xml:space="preserve"> PAGEREF _Toc6495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06"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_Toc14978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（一）直接原因分析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_Toc14978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06" w:lineRule="exact"/>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_Toc5259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（二）间接原因分析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_Toc5259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06" w:lineRule="exact"/>
            <w:textAlignment w:val="auto"/>
            <w:rPr>
              <w:sz w:val="24"/>
              <w:szCs w:val="24"/>
            </w:rPr>
          </w:pPr>
          <w:r>
            <w:rPr>
              <w:sz w:val="24"/>
              <w:szCs w:val="24"/>
            </w:rPr>
            <w:fldChar w:fldCharType="begin"/>
          </w:r>
          <w:r>
            <w:rPr>
              <w:sz w:val="24"/>
              <w:szCs w:val="24"/>
            </w:rPr>
            <w:instrText xml:space="preserve"> HYPERLINK \l _Toc21741 </w:instrText>
          </w:r>
          <w:r>
            <w:rPr>
              <w:sz w:val="24"/>
              <w:szCs w:val="24"/>
            </w:rPr>
            <w:fldChar w:fldCharType="separate"/>
          </w:r>
          <w:r>
            <w:rPr>
              <w:rFonts w:hint="eastAsia" w:ascii="黑体" w:hAnsi="黑体" w:eastAsia="黑体" w:cs="黑体"/>
              <w:sz w:val="24"/>
              <w:szCs w:val="24"/>
              <w:lang w:val="en-US" w:eastAsia="zh-CN"/>
            </w:rPr>
            <w:t>四、有关责任单位存在的问题</w:t>
          </w:r>
          <w:r>
            <w:rPr>
              <w:sz w:val="24"/>
              <w:szCs w:val="24"/>
            </w:rPr>
            <w:tab/>
          </w:r>
          <w:r>
            <w:rPr>
              <w:sz w:val="24"/>
              <w:szCs w:val="24"/>
            </w:rPr>
            <w:fldChar w:fldCharType="begin"/>
          </w:r>
          <w:r>
            <w:rPr>
              <w:sz w:val="24"/>
              <w:szCs w:val="24"/>
            </w:rPr>
            <w:instrText xml:space="preserve"> PAGEREF _Toc21741 \h </w:instrText>
          </w:r>
          <w:r>
            <w:rPr>
              <w:sz w:val="24"/>
              <w:szCs w:val="24"/>
            </w:rPr>
            <w:fldChar w:fldCharType="separate"/>
          </w:r>
          <w:r>
            <w:rPr>
              <w:sz w:val="24"/>
              <w:szCs w:val="24"/>
            </w:rPr>
            <w:t>12</w:t>
          </w:r>
          <w:r>
            <w:rPr>
              <w:sz w:val="24"/>
              <w:szCs w:val="24"/>
            </w:rPr>
            <w:fldChar w:fldCharType="end"/>
          </w:r>
          <w:r>
            <w:rPr>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06"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_Toc19983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（一）事故发生单位</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_Toc19983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06" w:lineRule="exact"/>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_Toc373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（二）事故有关单位</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_Toc373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06" w:lineRule="exact"/>
            <w:textAlignment w:val="auto"/>
            <w:rPr>
              <w:sz w:val="24"/>
              <w:szCs w:val="24"/>
            </w:rPr>
          </w:pPr>
          <w:r>
            <w:rPr>
              <w:sz w:val="24"/>
              <w:szCs w:val="24"/>
            </w:rPr>
            <w:fldChar w:fldCharType="begin"/>
          </w:r>
          <w:r>
            <w:rPr>
              <w:sz w:val="24"/>
              <w:szCs w:val="24"/>
            </w:rPr>
            <w:instrText xml:space="preserve"> HYPERLINK \l _Toc28477 </w:instrText>
          </w:r>
          <w:r>
            <w:rPr>
              <w:sz w:val="24"/>
              <w:szCs w:val="24"/>
            </w:rPr>
            <w:fldChar w:fldCharType="separate"/>
          </w:r>
          <w:r>
            <w:rPr>
              <w:rFonts w:hint="eastAsia" w:ascii="黑体" w:hAnsi="黑体" w:eastAsia="黑体" w:cs="黑体"/>
              <w:sz w:val="24"/>
              <w:szCs w:val="24"/>
              <w:lang w:val="en-US" w:eastAsia="zh-CN"/>
            </w:rPr>
            <w:t>五、对有关责任人员和责任单位的处理建议</w:t>
          </w:r>
          <w:r>
            <w:rPr>
              <w:sz w:val="24"/>
              <w:szCs w:val="24"/>
            </w:rPr>
            <w:tab/>
          </w:r>
          <w:r>
            <w:rPr>
              <w:sz w:val="24"/>
              <w:szCs w:val="24"/>
            </w:rPr>
            <w:fldChar w:fldCharType="begin"/>
          </w:r>
          <w:r>
            <w:rPr>
              <w:sz w:val="24"/>
              <w:szCs w:val="24"/>
            </w:rPr>
            <w:instrText xml:space="preserve"> PAGEREF _Toc28477 \h </w:instrText>
          </w:r>
          <w:r>
            <w:rPr>
              <w:sz w:val="24"/>
              <w:szCs w:val="24"/>
            </w:rPr>
            <w:fldChar w:fldCharType="separate"/>
          </w:r>
          <w:r>
            <w:rPr>
              <w:sz w:val="24"/>
              <w:szCs w:val="24"/>
            </w:rPr>
            <w:t>13</w:t>
          </w:r>
          <w:r>
            <w:rPr>
              <w:sz w:val="24"/>
              <w:szCs w:val="24"/>
            </w:rPr>
            <w:fldChar w:fldCharType="end"/>
          </w:r>
          <w:r>
            <w:rPr>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06"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_Toc23688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（一）因在事故中死亡免予追究责任人员</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_Toc23688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06" w:lineRule="exact"/>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_Toc20676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（二）对事故有关责任人员和责任单位的行政处罚建议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_Toc20676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06" w:lineRule="exact"/>
            <w:textAlignment w:val="auto"/>
            <w:rPr>
              <w:sz w:val="24"/>
              <w:szCs w:val="24"/>
            </w:rPr>
          </w:pPr>
          <w:r>
            <w:rPr>
              <w:sz w:val="24"/>
              <w:szCs w:val="24"/>
            </w:rPr>
            <w:fldChar w:fldCharType="begin"/>
          </w:r>
          <w:r>
            <w:rPr>
              <w:sz w:val="24"/>
              <w:szCs w:val="24"/>
            </w:rPr>
            <w:instrText xml:space="preserve"> HYPERLINK \l _Toc20908 </w:instrText>
          </w:r>
          <w:r>
            <w:rPr>
              <w:sz w:val="24"/>
              <w:szCs w:val="24"/>
            </w:rPr>
            <w:fldChar w:fldCharType="separate"/>
          </w:r>
          <w:r>
            <w:rPr>
              <w:rFonts w:hint="eastAsia" w:ascii="黑体" w:hAnsi="黑体" w:eastAsia="黑体" w:cs="黑体"/>
              <w:sz w:val="24"/>
              <w:szCs w:val="24"/>
              <w:lang w:val="en-US" w:eastAsia="zh-CN"/>
            </w:rPr>
            <w:t>六、事故主要教训</w:t>
          </w:r>
          <w:r>
            <w:rPr>
              <w:sz w:val="24"/>
              <w:szCs w:val="24"/>
            </w:rPr>
            <w:tab/>
          </w:r>
          <w:r>
            <w:rPr>
              <w:sz w:val="24"/>
              <w:szCs w:val="24"/>
            </w:rPr>
            <w:fldChar w:fldCharType="begin"/>
          </w:r>
          <w:r>
            <w:rPr>
              <w:sz w:val="24"/>
              <w:szCs w:val="24"/>
            </w:rPr>
            <w:instrText xml:space="preserve"> PAGEREF _Toc20908 \h </w:instrText>
          </w:r>
          <w:r>
            <w:rPr>
              <w:sz w:val="24"/>
              <w:szCs w:val="24"/>
            </w:rPr>
            <w:fldChar w:fldCharType="separate"/>
          </w:r>
          <w:r>
            <w:rPr>
              <w:sz w:val="24"/>
              <w:szCs w:val="24"/>
            </w:rPr>
            <w:t>15</w:t>
          </w:r>
          <w:r>
            <w:rPr>
              <w:sz w:val="24"/>
              <w:szCs w:val="24"/>
            </w:rPr>
            <w:fldChar w:fldCharType="end"/>
          </w:r>
          <w:r>
            <w:rPr>
              <w:sz w:val="24"/>
              <w:szCs w:val="24"/>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06" w:lineRule="exact"/>
            <w:textAlignment w:val="auto"/>
            <w:rPr>
              <w:sz w:val="24"/>
              <w:szCs w:val="24"/>
            </w:rPr>
          </w:pPr>
          <w:r>
            <w:rPr>
              <w:sz w:val="24"/>
              <w:szCs w:val="24"/>
            </w:rPr>
            <w:fldChar w:fldCharType="begin"/>
          </w:r>
          <w:r>
            <w:rPr>
              <w:sz w:val="24"/>
              <w:szCs w:val="24"/>
            </w:rPr>
            <w:instrText xml:space="preserve"> HYPERLINK \l _Toc16462 </w:instrText>
          </w:r>
          <w:r>
            <w:rPr>
              <w:sz w:val="24"/>
              <w:szCs w:val="24"/>
            </w:rPr>
            <w:fldChar w:fldCharType="separate"/>
          </w:r>
          <w:r>
            <w:rPr>
              <w:rFonts w:hint="eastAsia" w:ascii="黑体" w:hAnsi="黑体" w:eastAsia="黑体" w:cs="黑体"/>
              <w:sz w:val="24"/>
              <w:szCs w:val="24"/>
              <w:lang w:val="en-US" w:eastAsia="zh-CN"/>
            </w:rPr>
            <w:t>七、事故整改和防范措施</w:t>
          </w:r>
          <w:r>
            <w:rPr>
              <w:sz w:val="24"/>
              <w:szCs w:val="24"/>
            </w:rPr>
            <w:tab/>
          </w:r>
          <w:r>
            <w:rPr>
              <w:sz w:val="24"/>
              <w:szCs w:val="24"/>
            </w:rPr>
            <w:fldChar w:fldCharType="begin"/>
          </w:r>
          <w:r>
            <w:rPr>
              <w:sz w:val="24"/>
              <w:szCs w:val="24"/>
            </w:rPr>
            <w:instrText xml:space="preserve"> PAGEREF _Toc16462 \h </w:instrText>
          </w:r>
          <w:r>
            <w:rPr>
              <w:sz w:val="24"/>
              <w:szCs w:val="24"/>
            </w:rPr>
            <w:fldChar w:fldCharType="separate"/>
          </w:r>
          <w:r>
            <w:rPr>
              <w:sz w:val="24"/>
              <w:szCs w:val="24"/>
            </w:rPr>
            <w:t>16</w:t>
          </w:r>
          <w:r>
            <w:rPr>
              <w:sz w:val="24"/>
              <w:szCs w:val="24"/>
            </w:rPr>
            <w:fldChar w:fldCharType="end"/>
          </w:r>
          <w:r>
            <w:rPr>
              <w:sz w:val="24"/>
              <w:szCs w:val="24"/>
            </w:rPr>
            <w:fldChar w:fldCharType="end"/>
          </w:r>
        </w:p>
        <w:p>
          <w:pPr>
            <w:rPr>
              <w:sz w:val="24"/>
              <w:szCs w:val="24"/>
            </w:rPr>
          </w:pPr>
        </w:p>
        <w:p>
          <w:pPr>
            <w:rPr>
              <w:sz w:val="24"/>
              <w:szCs w:val="24"/>
            </w:rPr>
          </w:pPr>
        </w:p>
        <w:p>
          <w:pPr>
            <w:rPr>
              <w:sz w:val="24"/>
              <w:szCs w:val="24"/>
            </w:rPr>
          </w:pPr>
        </w:p>
        <w:p>
          <w:pPr>
            <w:keepNext w:val="0"/>
            <w:keepLines w:val="0"/>
            <w:pageBreakBefore w:val="0"/>
            <w:widowControl w:val="0"/>
            <w:kinsoku/>
            <w:wordWrap/>
            <w:overflowPunct/>
            <w:topLinePunct w:val="0"/>
            <w:autoSpaceDE/>
            <w:autoSpaceDN/>
            <w:bidi w:val="0"/>
            <w:adjustRightInd/>
            <w:snapToGrid/>
            <w:spacing w:line="506" w:lineRule="exact"/>
            <w:textAlignment w:val="auto"/>
            <w:rPr>
              <w:rFonts w:hint="eastAsia"/>
              <w:lang w:val="en-US" w:eastAsia="zh-CN"/>
            </w:rPr>
            <w:sectPr>
              <w:pgSz w:w="11906" w:h="16838"/>
              <w:pgMar w:top="1440" w:right="1800" w:bottom="1440" w:left="1800" w:header="851" w:footer="992" w:gutter="0"/>
              <w:pgNumType w:fmt="decimal"/>
              <w:cols w:space="425" w:num="1"/>
              <w:docGrid w:type="lines" w:linePitch="312" w:charSpace="0"/>
            </w:sectPr>
          </w:pPr>
          <w:r>
            <w:fldChar w:fldCharType="end"/>
          </w:r>
        </w:p>
      </w:sdtContent>
    </w:sdt>
    <w:p>
      <w:pPr>
        <w:keepNext w:val="0"/>
        <w:keepLines w:val="0"/>
        <w:pageBreakBefore w:val="0"/>
        <w:widowControl w:val="0"/>
        <w:kinsoku/>
        <w:wordWrap/>
        <w:overflowPunct/>
        <w:autoSpaceDE/>
        <w:autoSpaceDN/>
        <w:bidi w:val="0"/>
        <w:spacing w:line="568" w:lineRule="exact"/>
        <w:jc w:val="center"/>
        <w:textAlignment w:val="auto"/>
        <w:outlineLvl w:val="0"/>
        <w:rPr>
          <w:rFonts w:hint="eastAsia" w:ascii="宋体" w:hAnsi="宋体" w:eastAsia="宋体" w:cs="宋体"/>
          <w:b/>
          <w:bCs/>
          <w:color w:val="000000" w:themeColor="text1"/>
          <w:sz w:val="44"/>
          <w:szCs w:val="44"/>
          <w:lang w:val="en-US" w:eastAsia="zh-CN"/>
          <w14:textFill>
            <w14:solidFill>
              <w14:schemeClr w14:val="tx1"/>
            </w14:solidFill>
          </w14:textFill>
        </w:rPr>
      </w:pPr>
      <w:bookmarkStart w:id="2" w:name="_Toc4015"/>
      <w:bookmarkStart w:id="3" w:name="_Toc13634"/>
      <w:bookmarkStart w:id="4" w:name="_Toc23753"/>
      <w:bookmarkStart w:id="5" w:name="_Toc29949"/>
      <w:bookmarkStart w:id="6" w:name="_Toc6843"/>
      <w:r>
        <w:rPr>
          <w:rFonts w:hint="eastAsia" w:ascii="宋体" w:hAnsi="宋体" w:eastAsia="宋体" w:cs="宋体"/>
          <w:b/>
          <w:bCs/>
          <w:color w:val="000000" w:themeColor="text1"/>
          <w:sz w:val="44"/>
          <w:szCs w:val="44"/>
          <w:lang w:val="en-US" w:eastAsia="zh-CN"/>
          <w14:textFill>
            <w14:solidFill>
              <w14:schemeClr w14:val="tx1"/>
            </w14:solidFill>
          </w14:textFill>
        </w:rPr>
        <w:t>青山区城市视频监控运维项目</w:t>
      </w:r>
      <w:bookmarkEnd w:id="2"/>
      <w:bookmarkStart w:id="7" w:name="_Toc9456"/>
      <w:r>
        <w:rPr>
          <w:rFonts w:hint="eastAsia" w:ascii="宋体" w:hAnsi="宋体" w:eastAsia="宋体" w:cs="宋体"/>
          <w:b/>
          <w:bCs/>
          <w:color w:val="000000" w:themeColor="text1"/>
          <w:sz w:val="44"/>
          <w:szCs w:val="44"/>
          <w:lang w:val="en-US" w:eastAsia="zh-CN"/>
          <w14:textFill>
            <w14:solidFill>
              <w14:schemeClr w14:val="tx1"/>
            </w14:solidFill>
          </w14:textFill>
        </w:rPr>
        <w:t>“5·17”</w:t>
      </w:r>
      <w:bookmarkEnd w:id="3"/>
    </w:p>
    <w:p>
      <w:pPr>
        <w:keepNext w:val="0"/>
        <w:keepLines w:val="0"/>
        <w:pageBreakBefore w:val="0"/>
        <w:widowControl w:val="0"/>
        <w:kinsoku/>
        <w:wordWrap/>
        <w:overflowPunct/>
        <w:autoSpaceDE/>
        <w:autoSpaceDN/>
        <w:bidi w:val="0"/>
        <w:spacing w:line="560" w:lineRule="exact"/>
        <w:jc w:val="center"/>
        <w:textAlignment w:val="auto"/>
        <w:outlineLvl w:val="0"/>
        <w:rPr>
          <w:rFonts w:hint="eastAsia" w:ascii="宋体" w:hAnsi="宋体" w:eastAsia="宋体" w:cs="宋体"/>
          <w:b/>
          <w:bCs/>
          <w:color w:val="000000" w:themeColor="text1"/>
          <w:sz w:val="44"/>
          <w:szCs w:val="44"/>
          <w:lang w:val="en-US" w:eastAsia="zh-CN"/>
          <w14:textFill>
            <w14:solidFill>
              <w14:schemeClr w14:val="tx1"/>
            </w14:solidFill>
          </w14:textFill>
        </w:rPr>
      </w:pPr>
      <w:bookmarkStart w:id="8" w:name="_Toc30103"/>
      <w:r>
        <w:rPr>
          <w:rFonts w:hint="eastAsia" w:ascii="宋体" w:hAnsi="宋体" w:eastAsia="宋体" w:cs="宋体"/>
          <w:b/>
          <w:bCs/>
          <w:color w:val="000000" w:themeColor="text1"/>
          <w:sz w:val="44"/>
          <w:szCs w:val="44"/>
          <w:lang w:val="en-US" w:eastAsia="zh-CN"/>
          <w14:textFill>
            <w14:solidFill>
              <w14:schemeClr w14:val="tx1"/>
            </w14:solidFill>
          </w14:textFill>
        </w:rPr>
        <w:t>一般触电安全事故</w:t>
      </w:r>
      <w:bookmarkEnd w:id="7"/>
      <w:r>
        <w:rPr>
          <w:rFonts w:hint="eastAsia" w:ascii="宋体" w:hAnsi="宋体" w:eastAsia="宋体" w:cs="宋体"/>
          <w:b/>
          <w:bCs/>
          <w:color w:val="000000" w:themeColor="text1"/>
          <w:sz w:val="44"/>
          <w:szCs w:val="44"/>
          <w:lang w:val="en-US" w:eastAsia="zh-CN"/>
          <w14:textFill>
            <w14:solidFill>
              <w14:schemeClr w14:val="tx1"/>
            </w14:solidFill>
          </w14:textFill>
        </w:rPr>
        <w:t>调查报告</w:t>
      </w:r>
      <w:bookmarkEnd w:id="4"/>
      <w:bookmarkEnd w:id="5"/>
      <w:bookmarkEnd w:id="6"/>
      <w:bookmarkEnd w:id="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2024</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年</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5</w:t>
      </w:r>
      <w:r>
        <w:rPr>
          <w:rFonts w:hint="eastAsia" w:ascii="仿宋_GB2312" w:hAnsi="仿宋_GB2312" w:eastAsia="仿宋_GB2312" w:cs="仿宋_GB2312"/>
          <w:sz w:val="32"/>
          <w:szCs w:val="32"/>
          <w:lang w:val="en-US" w:eastAsia="zh-CN"/>
        </w:rPr>
        <w:t>月</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17</w:t>
      </w:r>
      <w:r>
        <w:rPr>
          <w:rFonts w:hint="eastAsia" w:ascii="仿宋_GB2312" w:hAnsi="仿宋_GB2312" w:eastAsia="仿宋_GB2312" w:cs="仿宋_GB2312"/>
          <w:sz w:val="32"/>
          <w:szCs w:val="32"/>
          <w:lang w:val="en-US" w:eastAsia="zh-CN"/>
        </w:rPr>
        <w:t>日，青山区城市视频监控运维项目发生一起触电安全事故，造成</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w:t>
      </w:r>
      <w:r>
        <w:rPr>
          <w:rFonts w:hint="eastAsia" w:ascii="仿宋_GB2312" w:hAnsi="仿宋_GB2312" w:eastAsia="仿宋_GB2312" w:cs="仿宋_GB2312"/>
          <w:sz w:val="32"/>
          <w:szCs w:val="32"/>
        </w:rPr>
        <w:t>人死亡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直接经济损失</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150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万余元。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事故发生后，区委区政府领导作出指示，要求妥善做好善后维稳工作，</w:t>
      </w:r>
      <w:r>
        <w:rPr>
          <w:rFonts w:hint="eastAsia" w:ascii="仿宋_GB2312" w:hAnsi="仿宋_GB2312" w:eastAsia="仿宋_GB2312" w:cs="仿宋_GB2312"/>
          <w:color w:val="000000" w:themeColor="text1"/>
          <w:sz w:val="32"/>
          <w:szCs w:val="32"/>
          <w14:textFill>
            <w14:solidFill>
              <w14:schemeClr w14:val="tx1"/>
            </w14:solidFill>
          </w14:textFill>
        </w:rPr>
        <w:t>组织开展事故调查，查明事故原因</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及经过</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举一反三，强化各行业领域风险防范，整治消除各类事故隐患问题。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依据《中华人民共和国安全生产法》</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以下简称“安全生产法”</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《生产安全事故报告和调查处理条例》（国务院令第</w:t>
      </w:r>
      <w:r>
        <w:rPr>
          <w:rFonts w:hint="eastAsia" w:ascii="宋体" w:hAnsi="宋体" w:eastAsia="宋体" w:cs="宋体"/>
          <w:color w:val="000000" w:themeColor="text1"/>
          <w:sz w:val="32"/>
          <w:szCs w:val="32"/>
          <w:lang w:val="en-US" w:eastAsia="zh-CN"/>
          <w14:textFill>
            <w14:solidFill>
              <w14:schemeClr w14:val="tx1"/>
            </w14:solidFill>
          </w14:textFill>
        </w:rPr>
        <w:t>493</w:t>
      </w:r>
      <w:r>
        <w:rPr>
          <w:rFonts w:hint="eastAsia" w:ascii="仿宋_GB2312" w:hAnsi="仿宋_GB2312" w:eastAsia="仿宋_GB2312" w:cs="仿宋_GB2312"/>
          <w:color w:val="000000" w:themeColor="text1"/>
          <w:sz w:val="32"/>
          <w:szCs w:val="32"/>
          <w14:textFill>
            <w14:solidFill>
              <w14:schemeClr w14:val="tx1"/>
            </w14:solidFill>
          </w14:textFill>
        </w:rPr>
        <w:t>号）《湖北省生产安全事故报告和调查处理办法》（省政府令第</w:t>
      </w:r>
      <w:r>
        <w:rPr>
          <w:rFonts w:hint="eastAsia" w:ascii="宋体" w:hAnsi="宋体" w:eastAsia="宋体" w:cs="宋体"/>
          <w:color w:val="000000" w:themeColor="text1"/>
          <w:sz w:val="32"/>
          <w:szCs w:val="32"/>
          <w:lang w:val="en-US" w:eastAsia="zh-CN"/>
          <w14:textFill>
            <w14:solidFill>
              <w14:schemeClr w14:val="tx1"/>
            </w14:solidFill>
          </w14:textFill>
        </w:rPr>
        <w:t>354</w:t>
      </w:r>
      <w:r>
        <w:rPr>
          <w:rFonts w:hint="eastAsia" w:ascii="仿宋_GB2312" w:hAnsi="仿宋_GB2312" w:eastAsia="仿宋_GB2312" w:cs="仿宋_GB2312"/>
          <w:color w:val="000000" w:themeColor="text1"/>
          <w:sz w:val="32"/>
          <w:szCs w:val="32"/>
          <w14:textFill>
            <w14:solidFill>
              <w14:schemeClr w14:val="tx1"/>
            </w14:solidFill>
          </w14:textFill>
        </w:rPr>
        <w:t>号）等有关法律法规规定，青山区人民政府成立由</w:t>
      </w:r>
      <w:r>
        <w:rPr>
          <w:rFonts w:hint="eastAsia" w:ascii="仿宋_GB2312" w:hAnsi="仿宋_GB2312" w:eastAsia="仿宋_GB2312" w:cs="仿宋_GB2312"/>
          <w:b w:val="0"/>
          <w:bCs/>
          <w:sz w:val="32"/>
          <w:szCs w:val="32"/>
          <w:lang w:val="en-US" w:eastAsia="zh-CN"/>
        </w:rPr>
        <w:t>区应急管理局、区公安分局、区科经局、区城管执法局、区总工会、八吉府街道办事处等单位</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组成的</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“5</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·17</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一般触电安全事故</w:t>
      </w:r>
      <w:r>
        <w:rPr>
          <w:rFonts w:hint="eastAsia" w:ascii="仿宋_GB2312" w:hAnsi="仿宋_GB2312" w:eastAsia="仿宋_GB2312" w:cs="仿宋_GB2312"/>
          <w:color w:val="000000" w:themeColor="text1"/>
          <w:sz w:val="32"/>
          <w:szCs w:val="32"/>
          <w14:textFill>
            <w14:solidFill>
              <w14:schemeClr w14:val="tx1"/>
            </w14:solidFill>
          </w14:textFill>
        </w:rPr>
        <w:t>调查组</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以下简称事故调查组</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kern w:val="2"/>
          <w:sz w:val="32"/>
          <w:lang w:val="en-US" w:eastAsia="zh-CN" w:bidi="ar-SA"/>
          <w14:textFill>
            <w14:solidFill>
              <w14:schemeClr w14:val="tx1"/>
            </w14:solidFill>
          </w14:textFill>
        </w:rPr>
        <w:t>并邀请区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纪委监委、区检察院参加</w:t>
      </w:r>
      <w:r>
        <w:rPr>
          <w:rFonts w:hint="eastAsia" w:ascii="仿宋_GB2312" w:hAnsi="仿宋_GB2312" w:eastAsia="仿宋_GB2312" w:cs="仿宋_GB2312"/>
          <w:color w:val="000000" w:themeColor="text1"/>
          <w:kern w:val="2"/>
          <w:sz w:val="32"/>
          <w:lang w:val="en-US" w:eastAsia="zh-CN" w:bidi="ar-SA"/>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对事故展开调查。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事故调查组按照“科学严谨、依法依规、实事求是、注重实效”和“四不放过”的原则，通过现场勘验、调查取证、人员询问和综合分析，查清了事故发生的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主要</w:t>
      </w:r>
      <w:r>
        <w:rPr>
          <w:rFonts w:hint="eastAsia" w:ascii="仿宋_GB2312" w:hAnsi="仿宋_GB2312" w:eastAsia="仿宋_GB2312" w:cs="仿宋_GB2312"/>
          <w:color w:val="000000" w:themeColor="text1"/>
          <w:sz w:val="32"/>
          <w:szCs w:val="32"/>
          <w14:textFill>
            <w14:solidFill>
              <w14:schemeClr w14:val="tx1"/>
            </w14:solidFill>
          </w14:textFill>
        </w:rPr>
        <w:t>经过、原因、人员伤亡和财产损失情况，认定了事故的性质和事故责任，提出了对有关责任人员及责任单位的处理建议和事故防范措施建议。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经调查认定，</w:t>
      </w:r>
      <w:r>
        <w:rPr>
          <w:rFonts w:hint="eastAsia" w:ascii="仿宋_GB2312" w:hAnsi="仿宋_GB2312" w:eastAsia="仿宋_GB2312" w:cs="仿宋_GB2312"/>
          <w:sz w:val="32"/>
          <w:szCs w:val="32"/>
          <w:lang w:val="en-US" w:eastAsia="zh-CN"/>
        </w:rPr>
        <w:t>青山区城市视频监控运维项目</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5·17</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一般触电安全事故是</w:t>
      </w:r>
      <w:bookmarkStart w:id="43" w:name="_GoBack"/>
      <w:bookmarkEnd w:id="43"/>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一起因从业人员违规作业，违法转包作业项目，重大风险隐患未有效消除造成的一般生产安全责任事故。</w:t>
      </w:r>
    </w:p>
    <w:p>
      <w:pPr>
        <w:pStyle w:val="7"/>
        <w:keepNext w:val="0"/>
        <w:keepLines w:val="0"/>
        <w:pageBreakBefore w:val="0"/>
        <w:widowControl w:val="0"/>
        <w:kinsoku/>
        <w:wordWrap/>
        <w:overflowPunct/>
        <w:autoSpaceDE/>
        <w:autoSpaceDN/>
        <w:bidi w:val="0"/>
        <w:spacing w:line="560" w:lineRule="exact"/>
        <w:ind w:firstLine="640" w:firstLineChars="200"/>
        <w:textAlignment w:val="auto"/>
        <w:outlineLvl w:val="0"/>
        <w:rPr>
          <w:rFonts w:hint="eastAsia" w:ascii="黑体" w:hAnsi="黑体" w:eastAsia="黑体" w:cs="黑体"/>
          <w:sz w:val="32"/>
          <w:szCs w:val="32"/>
          <w:lang w:val="en-US" w:eastAsia="zh-CN"/>
        </w:rPr>
      </w:pPr>
      <w:bookmarkStart w:id="9" w:name="_Toc22108"/>
      <w:r>
        <w:rPr>
          <w:rFonts w:hint="eastAsia" w:ascii="黑体" w:hAnsi="黑体" w:eastAsia="黑体" w:cs="黑体"/>
          <w:sz w:val="32"/>
          <w:szCs w:val="32"/>
          <w:lang w:val="en-US" w:eastAsia="zh-CN"/>
        </w:rPr>
        <w:t>一、事故基本情况</w:t>
      </w:r>
      <w:bookmarkEnd w:id="9"/>
    </w:p>
    <w:p>
      <w:pPr>
        <w:pStyle w:val="9"/>
        <w:keepNext w:val="0"/>
        <w:keepLines w:val="0"/>
        <w:pageBreakBefore w:val="0"/>
        <w:widowControl w:val="0"/>
        <w:kinsoku/>
        <w:wordWrap/>
        <w:overflowPunct/>
        <w:autoSpaceDE/>
        <w:autoSpaceDN/>
        <w:bidi w:val="0"/>
        <w:spacing w:line="560" w:lineRule="exact"/>
        <w:ind w:left="0" w:leftChars="0" w:firstLine="642" w:firstLineChars="200"/>
        <w:textAlignment w:val="auto"/>
        <w:outlineLvl w:val="1"/>
        <w:rPr>
          <w:rFonts w:hint="default" w:ascii="楷体_GB2312" w:hAnsi="楷体_GB2312" w:eastAsia="楷体_GB2312" w:cs="楷体_GB2312"/>
          <w:b/>
          <w:bCs/>
          <w:sz w:val="32"/>
          <w:szCs w:val="32"/>
          <w:lang w:val="en-US" w:eastAsia="zh-CN"/>
        </w:rPr>
      </w:pPr>
      <w:bookmarkStart w:id="10" w:name="_Toc6195"/>
      <w:r>
        <w:rPr>
          <w:rFonts w:hint="eastAsia" w:ascii="楷体_GB2312" w:hAnsi="楷体_GB2312" w:eastAsia="楷体_GB2312" w:cs="楷体_GB2312"/>
          <w:b/>
          <w:bCs/>
          <w:sz w:val="32"/>
          <w:szCs w:val="32"/>
          <w:lang w:val="en-US" w:eastAsia="zh-CN"/>
        </w:rPr>
        <w:t>（一）事故项目基本情况</w:t>
      </w:r>
      <w:bookmarkEnd w:id="1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事故项目为青山区城市视频监控一期、二期、三期、三期增补、化工片区运维服务（以下简称“城市视频监控运维项目”），服务内容：对青山区城市视频监控一期、二期、三期、三期增补、化工片区的前端点位及传输线路运维服务（本项目所涉及的光纤、管道、</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OLT</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ONU</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、室外光网络单元）、供电配套服务及相关运维服务；武汉市公安局青山区分局(钢城分局辖区的城市视频监控系统一期、二期、三期、三期增补、化工片区</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2885</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个点位、</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3912</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台摄像机需开展运维服务。事故发生位置为化工片区</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3</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期运维点位，项目甲方为武汉市公安局青山区分局（钢城分局），乙方为中国联通网络通信有限公司武汉分公司，服务期为</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2024</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年</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4</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月</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30</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日起</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365</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个日历日。</w:t>
      </w:r>
    </w:p>
    <w:p>
      <w:pPr>
        <w:pStyle w:val="9"/>
        <w:keepNext w:val="0"/>
        <w:keepLines w:val="0"/>
        <w:pageBreakBefore w:val="0"/>
        <w:widowControl w:val="0"/>
        <w:kinsoku/>
        <w:wordWrap/>
        <w:overflowPunct/>
        <w:autoSpaceDE/>
        <w:autoSpaceDN/>
        <w:bidi w:val="0"/>
        <w:spacing w:line="560" w:lineRule="exact"/>
        <w:ind w:left="0" w:leftChars="0" w:firstLine="642" w:firstLineChars="200"/>
        <w:textAlignment w:val="auto"/>
        <w:outlineLvl w:val="1"/>
        <w:rPr>
          <w:rFonts w:hint="default" w:ascii="楷体_GB2312" w:hAnsi="楷体_GB2312" w:eastAsia="楷体_GB2312" w:cs="楷体_GB2312"/>
          <w:b/>
          <w:bCs/>
          <w:sz w:val="32"/>
          <w:szCs w:val="32"/>
          <w:lang w:val="en-US" w:eastAsia="zh-CN"/>
        </w:rPr>
      </w:pPr>
      <w:bookmarkStart w:id="11" w:name="_Toc2541"/>
      <w:r>
        <w:rPr>
          <w:rFonts w:hint="eastAsia" w:ascii="楷体_GB2312" w:hAnsi="楷体_GB2312" w:eastAsia="楷体_GB2312" w:cs="楷体_GB2312"/>
          <w:b/>
          <w:bCs/>
          <w:sz w:val="32"/>
          <w:szCs w:val="32"/>
          <w:lang w:val="en-US" w:eastAsia="zh-CN"/>
        </w:rPr>
        <w:t>（二）事故高压线路基本情况</w:t>
      </w:r>
      <w:bookmarkEnd w:id="11"/>
    </w:p>
    <w:p>
      <w:pPr>
        <w:pStyle w:val="17"/>
        <w:keepNext w:val="0"/>
        <w:keepLines w:val="0"/>
        <w:pageBreakBefore w:val="0"/>
        <w:widowControl w:val="0"/>
        <w:kinsoku/>
        <w:wordWrap/>
        <w:overflowPunct/>
        <w:autoSpaceDE/>
        <w:autoSpaceDN/>
        <w:bidi w:val="0"/>
        <w:spacing w:line="560" w:lineRule="exact"/>
        <w:ind w:left="0" w:leftChars="0" w:firstLine="640" w:firstLineChars="200"/>
        <w:textAlignment w:val="auto"/>
        <w:rPr>
          <w:rFonts w:hint="eastAsia" w:ascii="楷体_GB2312" w:hAnsi="楷体_GB2312" w:eastAsia="楷体_GB2312" w:cs="楷体_GB2312"/>
          <w:b/>
          <w:bCs/>
          <w:sz w:val="32"/>
          <w:szCs w:val="32"/>
          <w:lang w:val="en-US" w:eastAsia="zh-CN"/>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事故高压线路为群白线山湖分支（</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由群白线</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104</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#转出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电压等级</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为</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10</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kv</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，属武汉宏山白浒供电服务有限公司资产。该线路在武汉市吴桥养殖场内设有6条电杆，分别为山湖分支</w:t>
      </w:r>
      <w:r>
        <w:rPr>
          <w:rFonts w:hint="eastAsia" w:ascii="宋体" w:hAnsi="宋体" w:eastAsia="宋体" w:cs="宋体"/>
          <w:color w:val="000000" w:themeColor="text1"/>
          <w:kern w:val="2"/>
          <w:sz w:val="32"/>
          <w:szCs w:val="32"/>
          <w:u w:val="none"/>
          <w:lang w:val="en-US" w:eastAsia="zh-CN" w:bidi="ar-SA"/>
          <w14:textFill>
            <w14:solidFill>
              <w14:schemeClr w14:val="tx1"/>
            </w14:solidFill>
          </w14:textFill>
        </w:rPr>
        <w:t>5</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w:t>
      </w:r>
      <w:r>
        <w:rPr>
          <w:rFonts w:hint="eastAsia" w:ascii="宋体" w:hAnsi="宋体" w:eastAsia="宋体" w:cs="宋体"/>
          <w:color w:val="000000" w:themeColor="text1"/>
          <w:kern w:val="2"/>
          <w:sz w:val="32"/>
          <w:szCs w:val="32"/>
          <w:u w:val="none"/>
          <w:lang w:val="en-US" w:eastAsia="zh-CN" w:bidi="ar-SA"/>
          <w14:textFill>
            <w14:solidFill>
              <w14:schemeClr w14:val="tx1"/>
            </w14:solidFill>
          </w14:textFill>
        </w:rPr>
        <w:t>6</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w:t>
      </w:r>
      <w:r>
        <w:rPr>
          <w:rFonts w:hint="eastAsia" w:ascii="宋体" w:hAnsi="宋体" w:eastAsia="宋体" w:cs="宋体"/>
          <w:color w:val="000000" w:themeColor="text1"/>
          <w:kern w:val="2"/>
          <w:sz w:val="32"/>
          <w:szCs w:val="32"/>
          <w:u w:val="none"/>
          <w:lang w:val="en-US" w:eastAsia="zh-CN" w:bidi="ar-SA"/>
          <w14:textFill>
            <w14:solidFill>
              <w14:schemeClr w14:val="tx1"/>
            </w14:solidFill>
          </w14:textFill>
        </w:rPr>
        <w:t>7</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w:t>
      </w:r>
      <w:r>
        <w:rPr>
          <w:rFonts w:hint="eastAsia" w:ascii="宋体" w:hAnsi="宋体" w:eastAsia="宋体" w:cs="宋体"/>
          <w:color w:val="000000" w:themeColor="text1"/>
          <w:kern w:val="2"/>
          <w:sz w:val="32"/>
          <w:szCs w:val="32"/>
          <w:u w:val="none"/>
          <w:lang w:val="en-US" w:eastAsia="zh-CN" w:bidi="ar-SA"/>
          <w14:textFill>
            <w14:solidFill>
              <w14:schemeClr w14:val="tx1"/>
            </w14:solidFill>
          </w14:textFill>
        </w:rPr>
        <w:t>8</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w:t>
      </w:r>
      <w:r>
        <w:rPr>
          <w:rFonts w:hint="eastAsia" w:ascii="宋体" w:hAnsi="宋体" w:eastAsia="宋体" w:cs="宋体"/>
          <w:color w:val="000000" w:themeColor="text1"/>
          <w:kern w:val="2"/>
          <w:sz w:val="32"/>
          <w:szCs w:val="32"/>
          <w:u w:val="none"/>
          <w:lang w:val="en-US" w:eastAsia="zh-CN" w:bidi="ar-SA"/>
          <w14:textFill>
            <w14:solidFill>
              <w14:schemeClr w14:val="tx1"/>
            </w14:solidFill>
          </w14:textFill>
        </w:rPr>
        <w:t>9</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w:t>
      </w:r>
      <w:r>
        <w:rPr>
          <w:rFonts w:hint="eastAsia" w:ascii="宋体" w:hAnsi="宋体" w:eastAsia="宋体" w:cs="宋体"/>
          <w:color w:val="000000" w:themeColor="text1"/>
          <w:kern w:val="2"/>
          <w:sz w:val="32"/>
          <w:szCs w:val="32"/>
          <w:u w:val="none"/>
          <w:lang w:val="en-US" w:eastAsia="zh-CN" w:bidi="ar-SA"/>
          <w14:textFill>
            <w14:solidFill>
              <w14:schemeClr w14:val="tx1"/>
            </w14:solidFill>
          </w14:textFill>
        </w:rPr>
        <w:t>10</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w:t>
      </w:r>
    </w:p>
    <w:p>
      <w:pPr>
        <w:pStyle w:val="9"/>
        <w:keepNext w:val="0"/>
        <w:keepLines w:val="0"/>
        <w:pageBreakBefore w:val="0"/>
        <w:widowControl w:val="0"/>
        <w:kinsoku/>
        <w:wordWrap/>
        <w:overflowPunct/>
        <w:autoSpaceDE/>
        <w:autoSpaceDN/>
        <w:bidi w:val="0"/>
        <w:spacing w:line="560" w:lineRule="exact"/>
        <w:ind w:left="0" w:leftChars="0" w:firstLine="642" w:firstLineChars="200"/>
        <w:textAlignment w:val="auto"/>
        <w:outlineLvl w:val="1"/>
        <w:rPr>
          <w:rFonts w:hint="eastAsia" w:ascii="楷体_GB2312" w:hAnsi="楷体_GB2312" w:eastAsia="楷体_GB2312" w:cs="楷体_GB2312"/>
          <w:b/>
          <w:bCs/>
          <w:sz w:val="32"/>
          <w:szCs w:val="32"/>
          <w:lang w:val="en-US" w:eastAsia="zh-CN"/>
        </w:rPr>
      </w:pPr>
      <w:bookmarkStart w:id="12" w:name="_Toc9198"/>
      <w:r>
        <w:rPr>
          <w:rFonts w:hint="eastAsia" w:ascii="楷体_GB2312" w:hAnsi="楷体_GB2312" w:eastAsia="楷体_GB2312" w:cs="楷体_GB2312"/>
          <w:b/>
          <w:bCs/>
          <w:sz w:val="32"/>
          <w:szCs w:val="32"/>
          <w:lang w:val="en-US" w:eastAsia="zh-CN"/>
        </w:rPr>
        <w:t>（三）事故发生单位及有关单位概况</w:t>
      </w:r>
      <w:bookmarkEnd w:id="12"/>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1.武汉信德网络技术工程有限公司。</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成立于</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2008</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年</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9</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月</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4</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日，类型为有限责任公司(自然人独资)，住所为武汉市江岸区惠济一路</w:t>
      </w:r>
      <w:r>
        <w:rPr>
          <w:rFonts w:hint="eastAsia" w:ascii="宋体" w:hAnsi="宋体" w:eastAsia="宋体" w:cs="宋体"/>
          <w:color w:val="000000" w:themeColor="text1"/>
          <w:sz w:val="32"/>
          <w:szCs w:val="32"/>
          <w:lang w:val="en-US" w:eastAsia="zh-CN"/>
          <w14:textFill>
            <w14:solidFill>
              <w14:schemeClr w14:val="tx1"/>
            </w14:solidFill>
          </w14:textFill>
        </w:rPr>
        <w:t>14</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号（F-</w:t>
      </w:r>
      <w:r>
        <w:rPr>
          <w:rFonts w:hint="eastAsia" w:ascii="宋体" w:hAnsi="宋体" w:eastAsia="宋体" w:cs="宋体"/>
          <w:color w:val="000000" w:themeColor="text1"/>
          <w:sz w:val="32"/>
          <w:szCs w:val="32"/>
          <w:lang w:val="en-US" w:eastAsia="zh-CN"/>
          <w14:textFill>
            <w14:solidFill>
              <w14:schemeClr w14:val="tx1"/>
            </w14:solidFill>
          </w14:textFill>
        </w:rPr>
        <w:t>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），统一信用代码：</w:t>
      </w:r>
      <w:r>
        <w:rPr>
          <w:rFonts w:hint="eastAsia" w:ascii="宋体" w:hAnsi="宋体" w:eastAsia="宋体" w:cs="宋体"/>
          <w:color w:val="000000" w:themeColor="text1"/>
          <w:sz w:val="32"/>
          <w:szCs w:val="32"/>
          <w:lang w:val="en-US" w:eastAsia="zh-CN"/>
          <w14:textFill>
            <w14:solidFill>
              <w14:schemeClr w14:val="tx1"/>
            </w14:solidFill>
          </w14:textFill>
        </w:rPr>
        <w:t>914201026791146362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经营范围</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包括</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通信工程、电子工程、计算机网络工程、通信网络系统维护；电力工程施工；钢结构工程施工及维护；建筑工程施工；输变电工程施工等。该公司持有国家能源局华中监管局颁发的《承装（修、试）电力设施许可证》，</w:t>
      </w:r>
      <w:r>
        <w:rPr>
          <w:rFonts w:hint="eastAsia" w:ascii="仿宋_GB2312" w:hAnsi="仿宋_GB2312" w:eastAsia="仿宋_GB2312" w:cs="仿宋_GB2312"/>
          <w:sz w:val="32"/>
          <w:szCs w:val="32"/>
          <w:lang w:val="en-US" w:eastAsia="zh-CN"/>
        </w:rPr>
        <w:t>许可证</w:t>
      </w:r>
      <w:r>
        <w:rPr>
          <w:rFonts w:hint="eastAsia" w:ascii="仿宋_GB2312" w:hAnsi="仿宋_GB2312" w:eastAsia="仿宋_GB2312" w:cs="仿宋_GB2312"/>
          <w:sz w:val="32"/>
          <w:szCs w:val="32"/>
        </w:rPr>
        <w:t>编号：</w:t>
      </w:r>
      <w:r>
        <w:rPr>
          <w:rFonts w:hint="eastAsia" w:ascii="宋体" w:hAnsi="宋体" w:eastAsia="宋体" w:cs="宋体"/>
          <w:color w:val="000000" w:themeColor="text1"/>
          <w:sz w:val="32"/>
          <w:szCs w:val="32"/>
          <w:lang w:val="en-US" w:eastAsia="zh-CN"/>
          <w14:textFill>
            <w14:solidFill>
              <w14:schemeClr w14:val="tx1"/>
            </w14:solidFill>
          </w14:textFill>
        </w:rPr>
        <w:t>5-4-00043-2023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许可类别和</w:t>
      </w:r>
      <w:r>
        <w:rPr>
          <w:rFonts w:hint="eastAsia" w:ascii="仿宋_GB2312" w:hAnsi="仿宋_GB2312" w:eastAsia="仿宋_GB2312" w:cs="仿宋_GB2312"/>
          <w:sz w:val="32"/>
          <w:szCs w:val="32"/>
        </w:rPr>
        <w:t>等级：</w:t>
      </w:r>
      <w:r>
        <w:rPr>
          <w:rFonts w:hint="eastAsia" w:ascii="仿宋_GB2312" w:hAnsi="仿宋_GB2312" w:eastAsia="仿宋_GB2312" w:cs="仿宋_GB2312"/>
          <w:sz w:val="32"/>
          <w:szCs w:val="32"/>
          <w:lang w:val="en-US" w:eastAsia="zh-CN"/>
        </w:rPr>
        <w:t>承装类五级、承修类五级、承试类五级，有效期限自</w:t>
      </w:r>
      <w:r>
        <w:rPr>
          <w:rFonts w:hint="eastAsia" w:ascii="宋体" w:hAnsi="宋体" w:eastAsia="宋体" w:cs="宋体"/>
          <w:color w:val="000000" w:themeColor="text1"/>
          <w:sz w:val="32"/>
          <w:szCs w:val="32"/>
          <w:lang w:val="en-US" w:eastAsia="zh-CN"/>
          <w14:textFill>
            <w14:solidFill>
              <w14:schemeClr w14:val="tx1"/>
            </w14:solidFill>
          </w14:textFill>
        </w:rPr>
        <w:t>2023</w:t>
      </w:r>
      <w:r>
        <w:rPr>
          <w:rFonts w:hint="eastAsia" w:ascii="仿宋_GB2312" w:hAnsi="仿宋_GB2312" w:eastAsia="仿宋_GB2312" w:cs="仿宋_GB2312"/>
          <w:sz w:val="32"/>
          <w:szCs w:val="32"/>
          <w:lang w:val="en-US" w:eastAsia="zh-CN"/>
        </w:rPr>
        <w:t>年</w:t>
      </w:r>
      <w:r>
        <w:rPr>
          <w:rFonts w:hint="eastAsia" w:ascii="宋体" w:hAnsi="宋体" w:eastAsia="宋体" w:cs="宋体"/>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sz w:val="32"/>
          <w:szCs w:val="32"/>
          <w:lang w:val="en-US" w:eastAsia="zh-CN"/>
        </w:rPr>
        <w:t>月</w:t>
      </w:r>
      <w:r>
        <w:rPr>
          <w:rFonts w:hint="eastAsia" w:ascii="宋体" w:hAnsi="宋体" w:eastAsia="宋体" w:cs="宋体"/>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sz w:val="32"/>
          <w:szCs w:val="32"/>
          <w:lang w:val="en-US" w:eastAsia="zh-CN"/>
        </w:rPr>
        <w:t>日至</w:t>
      </w:r>
      <w:r>
        <w:rPr>
          <w:rFonts w:hint="eastAsia" w:ascii="宋体" w:hAnsi="宋体" w:eastAsia="宋体" w:cs="宋体"/>
          <w:color w:val="000000" w:themeColor="text1"/>
          <w:sz w:val="32"/>
          <w:szCs w:val="32"/>
          <w:lang w:val="en-US" w:eastAsia="zh-CN"/>
          <w14:textFill>
            <w14:solidFill>
              <w14:schemeClr w14:val="tx1"/>
            </w14:solidFill>
          </w14:textFill>
        </w:rPr>
        <w:t>2029</w:t>
      </w:r>
      <w:r>
        <w:rPr>
          <w:rFonts w:hint="eastAsia" w:ascii="仿宋_GB2312" w:hAnsi="仿宋_GB2312" w:eastAsia="仿宋_GB2312" w:cs="仿宋_GB2312"/>
          <w:sz w:val="32"/>
          <w:szCs w:val="32"/>
          <w:lang w:val="en-US" w:eastAsia="zh-CN"/>
        </w:rPr>
        <w:t>年</w:t>
      </w:r>
      <w:r>
        <w:rPr>
          <w:rFonts w:hint="eastAsia" w:ascii="宋体" w:hAnsi="宋体" w:eastAsia="宋体" w:cs="宋体"/>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sz w:val="32"/>
          <w:szCs w:val="32"/>
          <w:lang w:val="en-US" w:eastAsia="zh-CN"/>
        </w:rPr>
        <w:t>月</w:t>
      </w:r>
      <w:r>
        <w:rPr>
          <w:rFonts w:hint="eastAsia" w:ascii="宋体" w:hAnsi="宋体" w:eastAsia="宋体" w:cs="宋体"/>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sz w:val="32"/>
          <w:szCs w:val="32"/>
          <w:lang w:val="en-US" w:eastAsia="zh-CN"/>
        </w:rPr>
        <w:t>日</w:t>
      </w:r>
      <w:r>
        <w:rPr>
          <w:rFonts w:hint="eastAsia" w:ascii="仿宋_GB2312" w:hAnsi="仿宋_GB2312" w:eastAsia="仿宋_GB2312" w:cs="仿宋_GB2312"/>
          <w:sz w:val="32"/>
          <w:szCs w:val="32"/>
        </w:rPr>
        <w:t>。</w:t>
      </w:r>
    </w:p>
    <w:p>
      <w:pPr>
        <w:pStyle w:val="9"/>
        <w:keepNext w:val="0"/>
        <w:keepLines w:val="0"/>
        <w:pageBreakBefore w:val="0"/>
        <w:widowControl w:val="0"/>
        <w:kinsoku/>
        <w:wordWrap/>
        <w:overflowPunct/>
        <w:autoSpaceDE/>
        <w:autoSpaceDN/>
        <w:bidi w:val="0"/>
        <w:spacing w:line="560" w:lineRule="exact"/>
        <w:ind w:left="0" w:leftChars="0" w:firstLine="642" w:firstLineChars="200"/>
        <w:textAlignment w:val="auto"/>
        <w:outlineLvl w:val="1"/>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bookmarkStart w:id="13" w:name="_Toc2448"/>
      <w:r>
        <w:rPr>
          <w:rFonts w:hint="eastAsia" w:ascii="仿宋_GB2312" w:hAnsi="仿宋_GB2312" w:eastAsia="仿宋_GB2312" w:cs="仿宋_GB2312"/>
          <w:b/>
          <w:bCs/>
          <w:color w:val="000000" w:themeColor="text1"/>
          <w:kern w:val="2"/>
          <w:sz w:val="32"/>
          <w:szCs w:val="32"/>
          <w:lang w:val="en-US" w:eastAsia="zh-CN" w:bidi="ar-SA"/>
          <w14:textFill>
            <w14:solidFill>
              <w14:schemeClr w14:val="tx1"/>
            </w14:solidFill>
          </w14:textFill>
        </w:rPr>
        <w:t>2.武汉宏山白浒供电服务有限公司。</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成立于</w:t>
      </w:r>
      <w:r>
        <w:rPr>
          <w:rFonts w:hint="eastAsia" w:ascii="宋体" w:hAnsi="宋体" w:eastAsia="宋体" w:cs="宋体"/>
          <w:color w:val="000000" w:themeColor="text1"/>
          <w:kern w:val="2"/>
          <w:sz w:val="32"/>
          <w:szCs w:val="32"/>
          <w:lang w:val="en-US" w:eastAsia="zh-CN" w:bidi="ar-SA"/>
          <w14:textFill>
            <w14:solidFill>
              <w14:schemeClr w14:val="tx1"/>
            </w14:solidFill>
          </w14:textFill>
        </w:rPr>
        <w:t>2016</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年</w:t>
      </w:r>
      <w:r>
        <w:rPr>
          <w:rFonts w:hint="eastAsia" w:ascii="宋体" w:hAnsi="宋体" w:eastAsia="宋体" w:cs="宋体"/>
          <w:color w:val="000000" w:themeColor="text1"/>
          <w:kern w:val="2"/>
          <w:sz w:val="32"/>
          <w:szCs w:val="32"/>
          <w:lang w:val="en-US" w:eastAsia="zh-CN" w:bidi="ar-SA"/>
          <w14:textFill>
            <w14:solidFill>
              <w14:schemeClr w14:val="tx1"/>
            </w14:solidFill>
          </w14:textFill>
        </w:rPr>
        <w:t>11</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月</w:t>
      </w:r>
      <w:r>
        <w:rPr>
          <w:rFonts w:hint="eastAsia" w:ascii="宋体" w:hAnsi="宋体" w:eastAsia="宋体" w:cs="宋体"/>
          <w:color w:val="000000" w:themeColor="text1"/>
          <w:kern w:val="2"/>
          <w:sz w:val="32"/>
          <w:szCs w:val="32"/>
          <w:lang w:val="en-US" w:eastAsia="zh-CN" w:bidi="ar-SA"/>
          <w14:textFill>
            <w14:solidFill>
              <w14:schemeClr w14:val="tx1"/>
            </w14:solidFill>
          </w14:textFill>
        </w:rPr>
        <w:t>2</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日，类型为有限责任公司（自然人投资或控股），住所为洪山区卓刀泉南路</w:t>
      </w:r>
      <w:r>
        <w:rPr>
          <w:rFonts w:hint="eastAsia" w:ascii="宋体" w:hAnsi="宋体" w:eastAsia="宋体" w:cs="宋体"/>
          <w:color w:val="000000" w:themeColor="text1"/>
          <w:kern w:val="2"/>
          <w:sz w:val="32"/>
          <w:szCs w:val="32"/>
          <w:lang w:val="en-US" w:eastAsia="zh-CN" w:bidi="ar-SA"/>
          <w14:textFill>
            <w14:solidFill>
              <w14:schemeClr w14:val="tx1"/>
            </w14:solidFill>
          </w14:textFill>
        </w:rPr>
        <w:t>18</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号</w:t>
      </w:r>
      <w:r>
        <w:rPr>
          <w:rFonts w:hint="eastAsia" w:ascii="宋体" w:hAnsi="宋体" w:eastAsia="宋体" w:cs="宋体"/>
          <w:color w:val="000000" w:themeColor="text1"/>
          <w:kern w:val="2"/>
          <w:sz w:val="32"/>
          <w:szCs w:val="32"/>
          <w:lang w:val="en-US" w:eastAsia="zh-CN" w:bidi="ar-SA"/>
          <w14:textFill>
            <w14:solidFill>
              <w14:schemeClr w14:val="tx1"/>
            </w14:solidFill>
          </w14:textFill>
        </w:rPr>
        <w:t>1</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栋</w:t>
      </w:r>
      <w:r>
        <w:rPr>
          <w:rFonts w:hint="eastAsia" w:ascii="宋体" w:hAnsi="宋体" w:eastAsia="宋体" w:cs="宋体"/>
          <w:color w:val="000000" w:themeColor="text1"/>
          <w:kern w:val="2"/>
          <w:sz w:val="32"/>
          <w:szCs w:val="32"/>
          <w:lang w:val="en-US" w:eastAsia="zh-CN" w:bidi="ar-SA"/>
          <w14:textFill>
            <w14:solidFill>
              <w14:schemeClr w14:val="tx1"/>
            </w14:solidFill>
          </w14:textFill>
        </w:rPr>
        <w:t>1</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单元</w:t>
      </w:r>
      <w:r>
        <w:rPr>
          <w:rFonts w:hint="eastAsia" w:ascii="宋体" w:hAnsi="宋体" w:eastAsia="宋体" w:cs="宋体"/>
          <w:color w:val="000000" w:themeColor="text1"/>
          <w:kern w:val="2"/>
          <w:sz w:val="32"/>
          <w:szCs w:val="32"/>
          <w:lang w:val="en-US" w:eastAsia="zh-CN" w:bidi="ar-SA"/>
          <w14:textFill>
            <w14:solidFill>
              <w14:schemeClr w14:val="tx1"/>
            </w14:solidFill>
          </w14:textFill>
        </w:rPr>
        <w:t>1</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层</w:t>
      </w:r>
      <w:r>
        <w:rPr>
          <w:rFonts w:hint="eastAsia" w:ascii="宋体" w:hAnsi="宋体" w:eastAsia="宋体" w:cs="宋体"/>
          <w:color w:val="000000" w:themeColor="text1"/>
          <w:kern w:val="2"/>
          <w:sz w:val="32"/>
          <w:szCs w:val="32"/>
          <w:lang w:val="en-US" w:eastAsia="zh-CN" w:bidi="ar-SA"/>
          <w14:textFill>
            <w14:solidFill>
              <w14:schemeClr w14:val="tx1"/>
            </w14:solidFill>
          </w14:textFill>
        </w:rPr>
        <w:t>1</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室，统一信用代码：</w:t>
      </w:r>
      <w:r>
        <w:rPr>
          <w:rFonts w:hint="eastAsia" w:ascii="宋体" w:hAnsi="宋体" w:eastAsia="宋体" w:cs="宋体"/>
          <w:color w:val="000000" w:themeColor="text1"/>
          <w:kern w:val="2"/>
          <w:sz w:val="32"/>
          <w:szCs w:val="32"/>
          <w:lang w:val="en-US" w:eastAsia="zh-CN" w:bidi="ar-SA"/>
          <w14:textFill>
            <w14:solidFill>
              <w14:schemeClr w14:val="tx1"/>
            </w14:solidFill>
          </w14:textFill>
        </w:rPr>
        <w:t>91420111</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MA</w:t>
      </w:r>
      <w:r>
        <w:rPr>
          <w:rFonts w:hint="eastAsia" w:ascii="宋体" w:hAnsi="宋体" w:eastAsia="宋体" w:cs="宋体"/>
          <w:color w:val="000000" w:themeColor="text1"/>
          <w:kern w:val="2"/>
          <w:sz w:val="32"/>
          <w:szCs w:val="32"/>
          <w:lang w:val="en-US" w:eastAsia="zh-CN" w:bidi="ar-SA"/>
          <w14:textFill>
            <w14:solidFill>
              <w14:schemeClr w14:val="tx1"/>
            </w14:solidFill>
          </w14:textFill>
        </w:rPr>
        <w:t>4</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KP</w:t>
      </w:r>
      <w:r>
        <w:rPr>
          <w:rFonts w:hint="eastAsia" w:ascii="宋体" w:hAnsi="宋体" w:eastAsia="宋体" w:cs="宋体"/>
          <w:color w:val="000000" w:themeColor="text1"/>
          <w:kern w:val="2"/>
          <w:sz w:val="32"/>
          <w:szCs w:val="32"/>
          <w:lang w:val="en-US" w:eastAsia="zh-CN" w:bidi="ar-SA"/>
          <w14:textFill>
            <w14:solidFill>
              <w14:schemeClr w14:val="tx1"/>
            </w14:solidFill>
          </w14:textFill>
        </w:rPr>
        <w:t>8</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EH</w:t>
      </w:r>
      <w:r>
        <w:rPr>
          <w:rFonts w:hint="eastAsia" w:ascii="宋体" w:hAnsi="宋体" w:eastAsia="宋体" w:cs="宋体"/>
          <w:color w:val="000000" w:themeColor="text1"/>
          <w:kern w:val="2"/>
          <w:sz w:val="32"/>
          <w:szCs w:val="32"/>
          <w:lang w:val="en-US" w:eastAsia="zh-CN" w:bidi="ar-SA"/>
          <w14:textFill>
            <w14:solidFill>
              <w14:schemeClr w14:val="tx1"/>
            </w14:solidFill>
          </w14:textFill>
        </w:rPr>
        <w:t>9</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F，经营范围</w:t>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包括</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许可项目：输电、供电、受电电力设施的安装、维修和试验；供电业务；一般项目：电线、电缆经营；五金产品批发；五金产品零售等。</w:t>
      </w:r>
      <w:bookmarkEnd w:id="13"/>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32"/>
          <w:szCs w:val="32"/>
          <w:lang w:val="en-US" w:eastAsia="zh-CN" w:bidi="ar-SA"/>
          <w14:textFill>
            <w14:solidFill>
              <w14:schemeClr w14:val="tx1"/>
            </w14:solidFill>
          </w14:textFill>
        </w:rPr>
        <w:t>3.武汉市吴桥养殖场。</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成立于</w:t>
      </w:r>
      <w:r>
        <w:rPr>
          <w:rFonts w:hint="eastAsia" w:ascii="宋体" w:hAnsi="宋体" w:eastAsia="宋体" w:cs="宋体"/>
          <w:color w:val="000000" w:themeColor="text1"/>
          <w:kern w:val="2"/>
          <w:sz w:val="32"/>
          <w:szCs w:val="32"/>
          <w:lang w:val="en-US" w:eastAsia="zh-CN" w:bidi="ar-SA"/>
          <w14:textFill>
            <w14:solidFill>
              <w14:schemeClr w14:val="tx1"/>
            </w14:solidFill>
          </w14:textFill>
        </w:rPr>
        <w:t>2006</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年</w:t>
      </w:r>
      <w:r>
        <w:rPr>
          <w:rFonts w:hint="eastAsia" w:ascii="宋体" w:hAnsi="宋体" w:eastAsia="宋体" w:cs="宋体"/>
          <w:color w:val="000000" w:themeColor="text1"/>
          <w:kern w:val="2"/>
          <w:sz w:val="32"/>
          <w:szCs w:val="32"/>
          <w:lang w:val="en-US" w:eastAsia="zh-CN" w:bidi="ar-SA"/>
          <w14:textFill>
            <w14:solidFill>
              <w14:schemeClr w14:val="tx1"/>
            </w14:solidFill>
          </w14:textFill>
        </w:rPr>
        <w:t>11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月</w:t>
      </w:r>
      <w:r>
        <w:rPr>
          <w:rFonts w:hint="eastAsia" w:ascii="宋体" w:hAnsi="宋体" w:eastAsia="宋体" w:cs="宋体"/>
          <w:color w:val="000000" w:themeColor="text1"/>
          <w:kern w:val="2"/>
          <w:sz w:val="32"/>
          <w:szCs w:val="32"/>
          <w:lang w:val="en-US" w:eastAsia="zh-CN" w:bidi="ar-SA"/>
          <w14:textFill>
            <w14:solidFill>
              <w14:schemeClr w14:val="tx1"/>
            </w14:solidFill>
          </w14:textFill>
        </w:rPr>
        <w:t>8</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日，类型为全民所有制</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，住所为武汉市化学工业区清潭湖吴桥村</w:t>
      </w:r>
      <w:r>
        <w:rPr>
          <w:rFonts w:hint="eastAsia" w:ascii="宋体" w:hAnsi="宋体" w:eastAsia="宋体" w:cs="宋体"/>
          <w:color w:val="000000" w:themeColor="text1"/>
          <w:kern w:val="2"/>
          <w:sz w:val="32"/>
          <w:szCs w:val="32"/>
          <w:lang w:val="en-US" w:eastAsia="zh-CN" w:bidi="ar-SA"/>
          <w14:textFill>
            <w14:solidFill>
              <w14:schemeClr w14:val="tx1"/>
            </w14:solidFill>
          </w14:textFill>
        </w:rPr>
        <w:t>198</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号，统一信用代码：</w:t>
      </w:r>
      <w:r>
        <w:rPr>
          <w:rFonts w:hint="eastAsia" w:ascii="宋体" w:hAnsi="宋体" w:eastAsia="宋体" w:cs="宋体"/>
          <w:color w:val="000000" w:themeColor="text1"/>
          <w:kern w:val="2"/>
          <w:sz w:val="32"/>
          <w:szCs w:val="32"/>
          <w:lang w:val="en-US" w:eastAsia="zh-CN" w:bidi="ar-SA"/>
          <w14:textFill>
            <w14:solidFill>
              <w14:schemeClr w14:val="tx1"/>
            </w14:solidFill>
          </w14:textFill>
        </w:rPr>
        <w:t>91420100792444012</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P，经营范围</w:t>
      </w:r>
      <w:r>
        <w:rPr>
          <w:rFonts w:hint="default" w:ascii="Times New Roman" w:hAnsi="Times New Roman" w:eastAsia="仿宋_GB2312" w:cs="Times New Roman"/>
          <w:color w:val="000000" w:themeColor="text1"/>
          <w:kern w:val="2"/>
          <w:sz w:val="32"/>
          <w:szCs w:val="32"/>
          <w:lang w:eastAsia="zh-CN" w:bidi="ar-SA"/>
          <w14:textFill>
            <w14:solidFill>
              <w14:schemeClr w14:val="tx1"/>
            </w14:solidFill>
          </w14:textFill>
        </w:rPr>
        <w:t>包括</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许可项目：水产养殖；一般项目：专业保洁、清洗、消毒服务等。</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kern w:val="2"/>
          <w:sz w:val="32"/>
          <w:szCs w:val="32"/>
          <w:lang w:val="en-US" w:eastAsia="zh-CN" w:bidi="ar-SA"/>
          <w14:textFill>
            <w14:solidFill>
              <w14:schemeClr w14:val="tx1"/>
            </w14:solidFill>
          </w14:textFill>
        </w:rPr>
        <w:t>4.联通（湖北）产业互联网有限公司。</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成立于</w:t>
      </w:r>
      <w:r>
        <w:rPr>
          <w:rFonts w:hint="eastAsia" w:ascii="宋体" w:hAnsi="宋体" w:eastAsia="宋体" w:cs="宋体"/>
          <w:color w:val="000000" w:themeColor="text1"/>
          <w:kern w:val="2"/>
          <w:sz w:val="32"/>
          <w:szCs w:val="32"/>
          <w:lang w:val="en-US" w:eastAsia="zh-CN" w:bidi="ar-SA"/>
          <w14:textFill>
            <w14:solidFill>
              <w14:schemeClr w14:val="tx1"/>
            </w14:solidFill>
          </w14:textFill>
        </w:rPr>
        <w:t>2022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年9月</w:t>
      </w:r>
      <w:r>
        <w:rPr>
          <w:rFonts w:hint="eastAsia" w:ascii="宋体" w:hAnsi="宋体" w:eastAsia="宋体" w:cs="宋体"/>
          <w:color w:val="000000" w:themeColor="text1"/>
          <w:kern w:val="2"/>
          <w:sz w:val="32"/>
          <w:szCs w:val="32"/>
          <w:lang w:val="en-US" w:eastAsia="zh-CN" w:bidi="ar-SA"/>
          <w14:textFill>
            <w14:solidFill>
              <w14:schemeClr w14:val="tx1"/>
            </w14:solidFill>
          </w14:textFill>
        </w:rPr>
        <w:t>26</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日，类型为有限责任公司（非自然人投资或控股的法人独资），住所为武汉市江汉区江汉经济开发区</w:t>
      </w:r>
      <w:r>
        <w:rPr>
          <w:rFonts w:hint="eastAsia" w:ascii="宋体" w:hAnsi="宋体" w:eastAsia="宋体" w:cs="宋体"/>
          <w:color w:val="000000" w:themeColor="text1"/>
          <w:kern w:val="2"/>
          <w:sz w:val="32"/>
          <w:szCs w:val="32"/>
          <w:lang w:val="en-US" w:eastAsia="zh-CN" w:bidi="ar-SA"/>
          <w14:textFill>
            <w14:solidFill>
              <w14:schemeClr w14:val="tx1"/>
            </w14:solidFill>
          </w14:textFill>
        </w:rPr>
        <w:t>0601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地块智慧大厦5层</w:t>
      </w:r>
      <w:r>
        <w:rPr>
          <w:rFonts w:hint="eastAsia" w:ascii="宋体" w:hAnsi="宋体" w:eastAsia="宋体" w:cs="宋体"/>
          <w:color w:val="000000" w:themeColor="text1"/>
          <w:kern w:val="2"/>
          <w:sz w:val="32"/>
          <w:szCs w:val="32"/>
          <w:lang w:val="en-US" w:eastAsia="zh-CN" w:bidi="ar-SA"/>
          <w14:textFill>
            <w14:solidFill>
              <w14:schemeClr w14:val="tx1"/>
            </w14:solidFill>
          </w14:textFill>
        </w:rPr>
        <w:t>5036</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室，统一信用代码：</w:t>
      </w:r>
      <w:r>
        <w:rPr>
          <w:rFonts w:hint="eastAsia" w:ascii="宋体" w:hAnsi="宋体" w:eastAsia="宋体" w:cs="宋体"/>
          <w:color w:val="000000" w:themeColor="text1"/>
          <w:kern w:val="2"/>
          <w:sz w:val="32"/>
          <w:szCs w:val="32"/>
          <w:lang w:val="en-US" w:eastAsia="zh-CN" w:bidi="ar-SA"/>
          <w14:textFill>
            <w14:solidFill>
              <w14:schemeClr w14:val="tx1"/>
            </w14:solidFill>
          </w14:textFill>
        </w:rPr>
        <w:t>91420103</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MABY</w:t>
      </w:r>
      <w:r>
        <w:rPr>
          <w:rFonts w:hint="eastAsia" w:ascii="宋体" w:hAnsi="宋体" w:eastAsia="宋体" w:cs="宋体"/>
          <w:color w:val="000000" w:themeColor="text1"/>
          <w:kern w:val="2"/>
          <w:sz w:val="32"/>
          <w:szCs w:val="32"/>
          <w:lang w:val="en-US" w:eastAsia="zh-CN" w:bidi="ar-SA"/>
          <w14:textFill>
            <w14:solidFill>
              <w14:schemeClr w14:val="tx1"/>
            </w14:solidFill>
          </w14:textFill>
        </w:rPr>
        <w:t>562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R</w:t>
      </w:r>
      <w:r>
        <w:rPr>
          <w:rFonts w:hint="eastAsia" w:ascii="宋体" w:hAnsi="宋体" w:eastAsia="宋体" w:cs="宋体"/>
          <w:color w:val="000000" w:themeColor="text1"/>
          <w:kern w:val="2"/>
          <w:sz w:val="32"/>
          <w:szCs w:val="32"/>
          <w:lang w:val="en-US" w:eastAsia="zh-CN" w:bidi="ar-SA"/>
          <w14:textFill>
            <w14:solidFill>
              <w14:schemeClr w14:val="tx1"/>
            </w14:solidFill>
          </w14:textFill>
        </w:rPr>
        <w:t>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J，经</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营范</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围</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包括许可项目：</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建设工程施工（除核电站建设经营、民用机场建设）；建设工程设计；建设工程监理；建筑智能化系统设计；在线数据处理与交易处理业务（经营类电子商务）</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等；</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一般项目：信息系统集成服务等。</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5.中国联合网络通信有限公司武汉市分公司。</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成立于</w:t>
      </w:r>
      <w:r>
        <w:rPr>
          <w:rFonts w:hint="eastAsia" w:ascii="宋体" w:hAnsi="宋体" w:eastAsia="宋体" w:cs="宋体"/>
          <w:color w:val="000000" w:themeColor="text1"/>
          <w:kern w:val="2"/>
          <w:sz w:val="32"/>
          <w:szCs w:val="32"/>
          <w:lang w:val="en-US" w:eastAsia="zh-CN" w:bidi="ar-SA"/>
          <w14:textFill>
            <w14:solidFill>
              <w14:schemeClr w14:val="tx1"/>
            </w14:solidFill>
          </w14:textFill>
        </w:rPr>
        <w:t>2001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年</w:t>
      </w:r>
      <w:r>
        <w:rPr>
          <w:rFonts w:hint="eastAsia" w:ascii="宋体" w:hAnsi="宋体" w:eastAsia="宋体" w:cs="宋体"/>
          <w:color w:val="000000" w:themeColor="text1"/>
          <w:kern w:val="2"/>
          <w:sz w:val="32"/>
          <w:szCs w:val="32"/>
          <w:lang w:val="en-US" w:eastAsia="zh-CN" w:bidi="ar-SA"/>
          <w14:textFill>
            <w14:solidFill>
              <w14:schemeClr w14:val="tx1"/>
            </w14:solidFill>
          </w14:textFill>
        </w:rPr>
        <w:t>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月</w:t>
      </w:r>
      <w:r>
        <w:rPr>
          <w:rFonts w:hint="eastAsia" w:ascii="宋体" w:hAnsi="宋体" w:eastAsia="宋体" w:cs="宋体"/>
          <w:color w:val="000000" w:themeColor="text1"/>
          <w:kern w:val="2"/>
          <w:sz w:val="32"/>
          <w:szCs w:val="32"/>
          <w:lang w:val="en-US" w:eastAsia="zh-CN" w:bidi="ar-SA"/>
          <w14:textFill>
            <w14:solidFill>
              <w14:schemeClr w14:val="tx1"/>
            </w14:solidFill>
          </w14:textFill>
        </w:rPr>
        <w:t>15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日，类型为台、港、澳投资企业分公司，住所为武汉市江岸区建设大道</w:t>
      </w:r>
      <w:r>
        <w:rPr>
          <w:rFonts w:hint="eastAsia" w:ascii="宋体" w:hAnsi="宋体" w:eastAsia="宋体" w:cs="宋体"/>
          <w:color w:val="000000" w:themeColor="text1"/>
          <w:kern w:val="2"/>
          <w:sz w:val="32"/>
          <w:szCs w:val="32"/>
          <w:lang w:val="en-US" w:eastAsia="zh-CN" w:bidi="ar-SA"/>
          <w14:textFill>
            <w14:solidFill>
              <w14:schemeClr w14:val="tx1"/>
            </w14:solidFill>
          </w14:textFill>
        </w:rPr>
        <w:t>1079</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号，统一信用代码：</w:t>
      </w:r>
      <w:r>
        <w:rPr>
          <w:rFonts w:hint="eastAsia" w:ascii="宋体" w:hAnsi="宋体" w:eastAsia="宋体" w:cs="宋体"/>
          <w:color w:val="000000" w:themeColor="text1"/>
          <w:kern w:val="2"/>
          <w:sz w:val="32"/>
          <w:szCs w:val="32"/>
          <w:lang w:val="en-US" w:eastAsia="zh-CN" w:bidi="ar-SA"/>
          <w14:textFill>
            <w14:solidFill>
              <w14:schemeClr w14:val="tx1"/>
            </w14:solidFill>
          </w14:textFill>
        </w:rPr>
        <w:t>914201007257758661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，经营范围</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包括</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建设工程施工；因特网接入服务和信息服务业务；技术开发、技术服务、技术咨询、技术培训等。</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default" w:ascii="楷体_GB2312" w:hAnsi="楷体_GB2312" w:eastAsia="楷体_GB2312" w:cs="楷体_GB2312"/>
          <w:b/>
          <w:bCs/>
          <w:sz w:val="32"/>
          <w:szCs w:val="32"/>
          <w:lang w:val="en-US" w:eastAsia="zh-CN"/>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6.景网技术有限公司。</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成立于</w:t>
      </w:r>
      <w:r>
        <w:rPr>
          <w:rFonts w:hint="eastAsia" w:ascii="宋体" w:hAnsi="宋体" w:eastAsia="宋体" w:cs="宋体"/>
          <w:color w:val="000000" w:themeColor="text1"/>
          <w:kern w:val="2"/>
          <w:sz w:val="32"/>
          <w:szCs w:val="32"/>
          <w:lang w:val="en-US" w:eastAsia="zh-CN" w:bidi="ar-SA"/>
          <w14:textFill>
            <w14:solidFill>
              <w14:schemeClr w14:val="tx1"/>
            </w14:solidFill>
          </w14:textFill>
        </w:rPr>
        <w:t>2013</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年</w:t>
      </w:r>
      <w:r>
        <w:rPr>
          <w:rFonts w:hint="eastAsia" w:ascii="宋体" w:hAnsi="宋体" w:eastAsia="宋体" w:cs="宋体"/>
          <w:color w:val="000000" w:themeColor="text1"/>
          <w:kern w:val="2"/>
          <w:sz w:val="32"/>
          <w:szCs w:val="32"/>
          <w:lang w:val="en-US" w:eastAsia="zh-CN" w:bidi="ar-SA"/>
          <w14:textFill>
            <w14:solidFill>
              <w14:schemeClr w14:val="tx1"/>
            </w14:solidFill>
          </w14:textFill>
        </w:rPr>
        <w:t>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月</w:t>
      </w:r>
      <w:r>
        <w:rPr>
          <w:rFonts w:hint="eastAsia" w:ascii="宋体" w:hAnsi="宋体" w:eastAsia="宋体" w:cs="宋体"/>
          <w:color w:val="000000" w:themeColor="text1"/>
          <w:kern w:val="2"/>
          <w:sz w:val="32"/>
          <w:szCs w:val="32"/>
          <w:lang w:val="en-US" w:eastAsia="zh-CN" w:bidi="ar-SA"/>
          <w14:textFill>
            <w14:solidFill>
              <w14:schemeClr w14:val="tx1"/>
            </w14:solidFill>
          </w14:textFill>
        </w:rPr>
        <w:t>14</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日，类型为有限责任公司（自然人独资)，住所为武汉东湖新技术开发区流芳大道</w:t>
      </w:r>
      <w:r>
        <w:rPr>
          <w:rFonts w:hint="eastAsia" w:ascii="宋体" w:hAnsi="宋体" w:eastAsia="宋体" w:cs="宋体"/>
          <w:color w:val="000000" w:themeColor="text1"/>
          <w:kern w:val="2"/>
          <w:sz w:val="32"/>
          <w:szCs w:val="32"/>
          <w:lang w:val="en-US" w:eastAsia="zh-CN" w:bidi="ar-SA"/>
          <w14:textFill>
            <w14:solidFill>
              <w14:schemeClr w14:val="tx1"/>
            </w14:solidFill>
          </w14:textFill>
        </w:rPr>
        <w:t>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号凤凰产业园E地块第</w:t>
      </w:r>
      <w:r>
        <w:rPr>
          <w:rFonts w:hint="eastAsia" w:ascii="宋体" w:hAnsi="宋体" w:eastAsia="宋体" w:cs="宋体"/>
          <w:color w:val="000000" w:themeColor="text1"/>
          <w:kern w:val="2"/>
          <w:sz w:val="32"/>
          <w:szCs w:val="32"/>
          <w:lang w:val="en-US" w:eastAsia="zh-CN" w:bidi="ar-SA"/>
          <w14:textFill>
            <w14:solidFill>
              <w14:schemeClr w14:val="tx1"/>
            </w14:solidFill>
          </w14:textFill>
        </w:rPr>
        <w:t>3</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幢，统一信用代码：</w:t>
      </w:r>
      <w:r>
        <w:rPr>
          <w:rFonts w:hint="eastAsia" w:ascii="宋体" w:hAnsi="宋体" w:eastAsia="宋体" w:cs="宋体"/>
          <w:color w:val="000000" w:themeColor="text1"/>
          <w:kern w:val="2"/>
          <w:sz w:val="32"/>
          <w:szCs w:val="32"/>
          <w:lang w:val="en-US" w:eastAsia="zh-CN" w:bidi="ar-SA"/>
          <w14:textFill>
            <w14:solidFill>
              <w14:schemeClr w14:val="tx1"/>
            </w14:solidFill>
          </w14:textFill>
        </w:rPr>
        <w:t>91420100066836257</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T，经营范围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包括</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信息系统集成、技术服务；安全防范工程设计、施工、维护；电子与智能化工程；通信工程；市政公用工程；机电工程；公路交通工程等。</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7.武汉伍陆柒工贸有限公司。</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成立于</w:t>
      </w:r>
      <w:r>
        <w:rPr>
          <w:rFonts w:hint="eastAsia" w:ascii="宋体" w:hAnsi="宋体" w:eastAsia="宋体" w:cs="宋体"/>
          <w:color w:val="000000" w:themeColor="text1"/>
          <w:kern w:val="2"/>
          <w:sz w:val="32"/>
          <w:szCs w:val="32"/>
          <w:lang w:val="en-US" w:eastAsia="zh-CN" w:bidi="ar-SA"/>
          <w14:textFill>
            <w14:solidFill>
              <w14:schemeClr w14:val="tx1"/>
            </w14:solidFill>
          </w14:textFill>
        </w:rPr>
        <w:t>2023</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年</w:t>
      </w:r>
      <w:r>
        <w:rPr>
          <w:rFonts w:hint="eastAsia" w:ascii="宋体" w:hAnsi="宋体" w:eastAsia="宋体" w:cs="宋体"/>
          <w:color w:val="000000" w:themeColor="text1"/>
          <w:kern w:val="2"/>
          <w:sz w:val="32"/>
          <w:szCs w:val="32"/>
          <w:lang w:val="en-US" w:eastAsia="zh-CN" w:bidi="ar-SA"/>
          <w14:textFill>
            <w14:solidFill>
              <w14:schemeClr w14:val="tx1"/>
            </w14:solidFill>
          </w14:textFill>
        </w:rPr>
        <w:t>7</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月</w:t>
      </w:r>
      <w:r>
        <w:rPr>
          <w:rFonts w:hint="eastAsia" w:ascii="宋体" w:hAnsi="宋体" w:eastAsia="宋体" w:cs="宋体"/>
          <w:color w:val="000000" w:themeColor="text1"/>
          <w:kern w:val="2"/>
          <w:sz w:val="32"/>
          <w:szCs w:val="32"/>
          <w:lang w:val="en-US" w:eastAsia="zh-CN" w:bidi="ar-SA"/>
          <w14:textFill>
            <w14:solidFill>
              <w14:schemeClr w14:val="tx1"/>
            </w14:solidFill>
          </w14:textFill>
        </w:rPr>
        <w:t>4</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日，类型为有限责任公司(自然人独资)，住所为湖北省武汉市青山区（武汉化学工业区）八吉府街建设村邵家咀</w:t>
      </w:r>
      <w:r>
        <w:rPr>
          <w:rFonts w:hint="eastAsia" w:ascii="宋体" w:hAnsi="宋体" w:eastAsia="宋体" w:cs="宋体"/>
          <w:color w:val="000000" w:themeColor="text1"/>
          <w:kern w:val="2"/>
          <w:sz w:val="32"/>
          <w:szCs w:val="32"/>
          <w:lang w:val="en-US" w:eastAsia="zh-CN" w:bidi="ar-SA"/>
          <w14:textFill>
            <w14:solidFill>
              <w14:schemeClr w14:val="tx1"/>
            </w14:solidFill>
          </w14:textFill>
        </w:rPr>
        <w:t>126</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号，统一信用代码：</w:t>
      </w:r>
      <w:r>
        <w:rPr>
          <w:rFonts w:hint="eastAsia" w:ascii="宋体" w:hAnsi="宋体" w:eastAsia="宋体" w:cs="宋体"/>
          <w:color w:val="000000" w:themeColor="text1"/>
          <w:kern w:val="2"/>
          <w:sz w:val="32"/>
          <w:szCs w:val="32"/>
          <w:lang w:val="en-US" w:eastAsia="zh-CN" w:bidi="ar-SA"/>
          <w14:textFill>
            <w14:solidFill>
              <w14:schemeClr w14:val="tx1"/>
            </w14:solidFill>
          </w14:textFill>
        </w:rPr>
        <w:t>91420107</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MACPC</w:t>
      </w:r>
      <w:r>
        <w:rPr>
          <w:rFonts w:hint="eastAsia" w:ascii="宋体" w:hAnsi="宋体" w:eastAsia="宋体" w:cs="宋体"/>
          <w:color w:val="000000" w:themeColor="text1"/>
          <w:kern w:val="2"/>
          <w:sz w:val="32"/>
          <w:szCs w:val="32"/>
          <w:lang w:val="en-US" w:eastAsia="zh-CN" w:bidi="ar-SA"/>
          <w14:textFill>
            <w14:solidFill>
              <w14:schemeClr w14:val="tx1"/>
            </w14:solidFill>
          </w14:textFill>
        </w:rPr>
        <w:t>72</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X</w:t>
      </w:r>
      <w:r>
        <w:rPr>
          <w:rFonts w:hint="eastAsia" w:ascii="宋体" w:hAnsi="宋体" w:eastAsia="宋体" w:cs="宋体"/>
          <w:color w:val="000000" w:themeColor="text1"/>
          <w:kern w:val="2"/>
          <w:sz w:val="32"/>
          <w:szCs w:val="32"/>
          <w:lang w:val="en-US" w:eastAsia="zh-CN" w:bidi="ar-SA"/>
          <w14:textFill>
            <w14:solidFill>
              <w14:schemeClr w14:val="tx1"/>
            </w14:solidFill>
          </w14:textFill>
        </w:rPr>
        <w:t>9</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E，经营范围</w:t>
      </w:r>
      <w:r>
        <w:rPr>
          <w:rFonts w:hint="default" w:ascii="Times New Roman" w:hAnsi="Times New Roman" w:eastAsia="仿宋_GB2312" w:cs="Times New Roman"/>
          <w:color w:val="000000" w:themeColor="text1"/>
          <w:kern w:val="2"/>
          <w:sz w:val="32"/>
          <w:szCs w:val="32"/>
          <w:lang w:eastAsia="zh-CN" w:bidi="ar-SA"/>
          <w14:textFill>
            <w14:solidFill>
              <w14:schemeClr w14:val="tx1"/>
            </w14:solidFill>
          </w14:textFill>
        </w:rPr>
        <w:t>包括一般项目：</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建筑材料销售，房屋拆迁服务，园林绿化工程施工；</w:t>
      </w:r>
      <w:r>
        <w:rPr>
          <w:rFonts w:hint="default" w:ascii="Times New Roman" w:hAnsi="Times New Roman" w:eastAsia="仿宋_GB2312" w:cs="Times New Roman"/>
          <w:color w:val="000000" w:themeColor="text1"/>
          <w:kern w:val="2"/>
          <w:sz w:val="32"/>
          <w:szCs w:val="32"/>
          <w:lang w:eastAsia="zh-CN" w:bidi="ar-SA"/>
          <w14:textFill>
            <w14:solidFill>
              <w14:schemeClr w14:val="tx1"/>
            </w14:solidFill>
          </w14:textFill>
        </w:rPr>
        <w:t>许可项目：</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建设工程施工，建筑物拆除作业（爆破作业除外）。</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楷体_GB2312" w:hAnsi="楷体_GB2312" w:eastAsia="楷体_GB2312" w:cs="楷体_GB2312"/>
          <w:b/>
          <w:bCs/>
          <w:sz w:val="32"/>
          <w:szCs w:val="32"/>
          <w:highlight w:val="none"/>
          <w:lang w:val="en-US" w:eastAsia="zh-CN"/>
        </w:rPr>
      </w:pPr>
      <w:r>
        <w:rPr>
          <w:rFonts w:hint="eastAsia" w:ascii="仿宋_GB2312" w:hAnsi="仿宋_GB2312" w:eastAsia="仿宋_GB2312" w:cs="仿宋_GB2312"/>
          <w:b/>
          <w:bCs/>
          <w:color w:val="000000" w:themeColor="text1"/>
          <w:kern w:val="2"/>
          <w:sz w:val="32"/>
          <w:szCs w:val="32"/>
          <w:lang w:val="en-US" w:eastAsia="zh-CN" w:bidi="ar-SA"/>
          <w14:textFill>
            <w14:solidFill>
              <w14:schemeClr w14:val="tx1"/>
            </w14:solidFill>
          </w14:textFill>
        </w:rPr>
        <w:t>8</w:t>
      </w:r>
      <w:r>
        <w:rPr>
          <w:rFonts w:hint="default" w:ascii="仿宋_GB2312" w:hAnsi="仿宋_GB2312" w:eastAsia="仿宋_GB2312" w:cs="仿宋_GB2312"/>
          <w:b/>
          <w:bCs/>
          <w:color w:val="000000" w:themeColor="text1"/>
          <w:kern w:val="2"/>
          <w:sz w:val="32"/>
          <w:szCs w:val="32"/>
          <w:lang w:val="en-US" w:eastAsia="zh-CN" w:bidi="ar-SA"/>
          <w14:textFill>
            <w14:solidFill>
              <w14:schemeClr w14:val="tx1"/>
            </w14:solidFill>
          </w14:textFill>
        </w:rPr>
        <w:t>.武汉杰世梦建筑劳务有限公司。</w:t>
      </w:r>
      <w:r>
        <w:rPr>
          <w:rFonts w:hint="eastAsia" w:ascii="Times New Roman" w:hAnsi="Times New Roman" w:eastAsia="仿宋_GB2312" w:cs="Times New Roman"/>
          <w:color w:val="000000" w:themeColor="text1"/>
          <w:kern w:val="2"/>
          <w:sz w:val="32"/>
          <w:szCs w:val="32"/>
          <w:highlight w:val="none"/>
          <w:lang w:val="en-US" w:eastAsia="zh-CN" w:bidi="ar-SA"/>
          <w14:textFill>
            <w14:solidFill>
              <w14:schemeClr w14:val="tx1"/>
            </w14:solidFill>
          </w14:textFill>
        </w:rPr>
        <w:t>成立于</w:t>
      </w: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202</w:t>
      </w:r>
      <w:r>
        <w:rPr>
          <w:rFonts w:hint="default" w:ascii="宋体" w:hAnsi="宋体" w:eastAsia="宋体" w:cs="宋体"/>
          <w:color w:val="000000" w:themeColor="text1"/>
          <w:kern w:val="2"/>
          <w:sz w:val="32"/>
          <w:szCs w:val="32"/>
          <w:highlight w:val="none"/>
          <w:lang w:val="en-US" w:eastAsia="zh-CN" w:bidi="ar-SA"/>
          <w14:textFill>
            <w14:solidFill>
              <w14:schemeClr w14:val="tx1"/>
            </w14:solidFill>
          </w14:textFill>
        </w:rPr>
        <w:t>2</w:t>
      </w:r>
      <w:r>
        <w:rPr>
          <w:rFonts w:hint="eastAsia" w:ascii="Times New Roman" w:hAnsi="Times New Roman" w:eastAsia="仿宋_GB2312" w:cs="Times New Roman"/>
          <w:color w:val="000000" w:themeColor="text1"/>
          <w:kern w:val="2"/>
          <w:sz w:val="32"/>
          <w:szCs w:val="32"/>
          <w:highlight w:val="none"/>
          <w:lang w:val="en-US" w:eastAsia="zh-CN" w:bidi="ar-SA"/>
          <w14:textFill>
            <w14:solidFill>
              <w14:schemeClr w14:val="tx1"/>
            </w14:solidFill>
          </w14:textFill>
        </w:rPr>
        <w:t>年</w:t>
      </w:r>
      <w:r>
        <w:rPr>
          <w:rFonts w:hint="default" w:ascii="宋体" w:hAnsi="宋体" w:eastAsia="宋体" w:cs="宋体"/>
          <w:color w:val="000000" w:themeColor="text1"/>
          <w:kern w:val="2"/>
          <w:sz w:val="32"/>
          <w:szCs w:val="32"/>
          <w:highlight w:val="none"/>
          <w:lang w:val="en-US" w:eastAsia="zh-CN" w:bidi="ar-SA"/>
          <w14:textFill>
            <w14:solidFill>
              <w14:schemeClr w14:val="tx1"/>
            </w14:solidFill>
          </w14:textFill>
        </w:rPr>
        <w:t>2</w:t>
      </w:r>
      <w:r>
        <w:rPr>
          <w:rFonts w:hint="eastAsia" w:ascii="Times New Roman" w:hAnsi="Times New Roman" w:eastAsia="仿宋_GB2312" w:cs="Times New Roman"/>
          <w:color w:val="000000" w:themeColor="text1"/>
          <w:kern w:val="2"/>
          <w:sz w:val="32"/>
          <w:szCs w:val="32"/>
          <w:highlight w:val="none"/>
          <w:lang w:val="en-US" w:eastAsia="zh-CN" w:bidi="ar-SA"/>
          <w14:textFill>
            <w14:solidFill>
              <w14:schemeClr w14:val="tx1"/>
            </w14:solidFill>
          </w14:textFill>
        </w:rPr>
        <w:t>月</w:t>
      </w:r>
      <w:r>
        <w:rPr>
          <w:rFonts w:hint="default" w:ascii="宋体" w:hAnsi="宋体" w:eastAsia="宋体" w:cs="宋体"/>
          <w:color w:val="000000" w:themeColor="text1"/>
          <w:kern w:val="2"/>
          <w:sz w:val="32"/>
          <w:szCs w:val="32"/>
          <w:highlight w:val="none"/>
          <w:lang w:val="en-US" w:eastAsia="zh-CN" w:bidi="ar-SA"/>
          <w14:textFill>
            <w14:solidFill>
              <w14:schemeClr w14:val="tx1"/>
            </w14:solidFill>
          </w14:textFill>
        </w:rPr>
        <w:t>15</w:t>
      </w:r>
      <w:r>
        <w:rPr>
          <w:rFonts w:hint="eastAsia" w:ascii="Times New Roman" w:hAnsi="Times New Roman" w:eastAsia="仿宋_GB2312" w:cs="Times New Roman"/>
          <w:color w:val="000000" w:themeColor="text1"/>
          <w:kern w:val="2"/>
          <w:sz w:val="32"/>
          <w:szCs w:val="32"/>
          <w:highlight w:val="none"/>
          <w:lang w:val="en-US" w:eastAsia="zh-CN" w:bidi="ar-SA"/>
          <w14:textFill>
            <w14:solidFill>
              <w14:schemeClr w14:val="tx1"/>
            </w14:solidFill>
          </w14:textFill>
        </w:rPr>
        <w:t>日，类型为有限责任公</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司（自然人独资）</w:t>
      </w:r>
      <w:r>
        <w:rPr>
          <w:rFonts w:hint="eastAsia" w:ascii="Times New Roman" w:hAnsi="Times New Roman" w:eastAsia="仿宋_GB2312" w:cs="Times New Roman"/>
          <w:color w:val="000000" w:themeColor="text1"/>
          <w:kern w:val="2"/>
          <w:sz w:val="32"/>
          <w:szCs w:val="32"/>
          <w:highlight w:val="none"/>
          <w:lang w:val="en-US" w:eastAsia="zh-CN" w:bidi="ar-SA"/>
          <w14:textFill>
            <w14:solidFill>
              <w14:schemeClr w14:val="tx1"/>
            </w14:solidFill>
          </w14:textFill>
        </w:rPr>
        <w:t>，住所为湖北省武汉市汉阳区永丰街仙山新城</w:t>
      </w: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15</w:t>
      </w:r>
      <w:r>
        <w:rPr>
          <w:rFonts w:hint="eastAsia" w:ascii="Times New Roman" w:hAnsi="Times New Roman" w:eastAsia="仿宋_GB2312" w:cs="Times New Roman"/>
          <w:color w:val="000000" w:themeColor="text1"/>
          <w:kern w:val="2"/>
          <w:sz w:val="32"/>
          <w:szCs w:val="32"/>
          <w:highlight w:val="none"/>
          <w:lang w:val="en-US" w:eastAsia="zh-CN" w:bidi="ar-SA"/>
          <w14:textFill>
            <w14:solidFill>
              <w14:schemeClr w14:val="tx1"/>
            </w14:solidFill>
          </w14:textFill>
        </w:rPr>
        <w:t>栋</w:t>
      </w: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401</w:t>
      </w:r>
      <w:r>
        <w:rPr>
          <w:rFonts w:hint="eastAsia" w:ascii="Times New Roman" w:hAnsi="Times New Roman" w:eastAsia="仿宋_GB2312" w:cs="Times New Roman"/>
          <w:color w:val="000000" w:themeColor="text1"/>
          <w:kern w:val="2"/>
          <w:sz w:val="32"/>
          <w:szCs w:val="32"/>
          <w:highlight w:val="none"/>
          <w:lang w:val="en-US" w:eastAsia="zh-CN" w:bidi="ar-SA"/>
          <w14:textFill>
            <w14:solidFill>
              <w14:schemeClr w14:val="tx1"/>
            </w14:solidFill>
          </w14:textFill>
        </w:rPr>
        <w:t>，统一信用代码：</w:t>
      </w: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91420115</w:t>
      </w:r>
      <w:r>
        <w:rPr>
          <w:rFonts w:hint="eastAsia" w:ascii="Times New Roman" w:hAnsi="Times New Roman" w:eastAsia="仿宋_GB2312" w:cs="Times New Roman"/>
          <w:color w:val="000000" w:themeColor="text1"/>
          <w:kern w:val="2"/>
          <w:sz w:val="32"/>
          <w:szCs w:val="32"/>
          <w:highlight w:val="none"/>
          <w:lang w:val="en-US" w:eastAsia="zh-CN" w:bidi="ar-SA"/>
          <w14:textFill>
            <w14:solidFill>
              <w14:schemeClr w14:val="tx1"/>
            </w14:solidFill>
          </w14:textFill>
        </w:rPr>
        <w:t>MA</w:t>
      </w: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7</w:t>
      </w:r>
      <w:r>
        <w:rPr>
          <w:rFonts w:hint="eastAsia" w:ascii="Times New Roman" w:hAnsi="Times New Roman" w:eastAsia="仿宋_GB2312" w:cs="Times New Roman"/>
          <w:color w:val="000000" w:themeColor="text1"/>
          <w:kern w:val="2"/>
          <w:sz w:val="32"/>
          <w:szCs w:val="32"/>
          <w:highlight w:val="none"/>
          <w:lang w:val="en-US" w:eastAsia="zh-CN" w:bidi="ar-SA"/>
          <w14:textFill>
            <w14:solidFill>
              <w14:schemeClr w14:val="tx1"/>
            </w14:solidFill>
          </w14:textFill>
        </w:rPr>
        <w:t>HHD</w:t>
      </w: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9</w:t>
      </w:r>
      <w:r>
        <w:rPr>
          <w:rFonts w:hint="eastAsia" w:ascii="Times New Roman" w:hAnsi="Times New Roman" w:eastAsia="仿宋_GB2312" w:cs="Times New Roman"/>
          <w:color w:val="000000" w:themeColor="text1"/>
          <w:kern w:val="2"/>
          <w:sz w:val="32"/>
          <w:szCs w:val="32"/>
          <w:highlight w:val="none"/>
          <w:lang w:val="en-US" w:eastAsia="zh-CN" w:bidi="ar-SA"/>
          <w14:textFill>
            <w14:solidFill>
              <w14:schemeClr w14:val="tx1"/>
            </w14:solidFill>
          </w14:textFill>
        </w:rPr>
        <w:t>Q</w:t>
      </w: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3</w:t>
      </w:r>
      <w:r>
        <w:rPr>
          <w:rFonts w:hint="eastAsia" w:ascii="Times New Roman" w:hAnsi="Times New Roman" w:eastAsia="仿宋_GB2312" w:cs="Times New Roman"/>
          <w:color w:val="000000" w:themeColor="text1"/>
          <w:kern w:val="2"/>
          <w:sz w:val="32"/>
          <w:szCs w:val="32"/>
          <w:highlight w:val="none"/>
          <w:lang w:val="en-US" w:eastAsia="zh-CN" w:bidi="ar-SA"/>
          <w14:textFill>
            <w14:solidFill>
              <w14:schemeClr w14:val="tx1"/>
            </w14:solidFill>
          </w14:textFill>
        </w:rPr>
        <w:t>L，经营范围</w:t>
      </w:r>
      <w:r>
        <w:rPr>
          <w:rFonts w:hint="default" w:ascii="Times New Roman" w:hAnsi="Times New Roman" w:eastAsia="仿宋_GB2312" w:cs="Times New Roman"/>
          <w:color w:val="000000" w:themeColor="text1"/>
          <w:kern w:val="2"/>
          <w:sz w:val="32"/>
          <w:szCs w:val="32"/>
          <w:highlight w:val="none"/>
          <w:lang w:eastAsia="zh-CN" w:bidi="ar-SA"/>
          <w14:textFill>
            <w14:solidFill>
              <w14:schemeClr w14:val="tx1"/>
            </w14:solidFill>
          </w14:textFill>
        </w:rPr>
        <w:t>包括</w:t>
      </w:r>
      <w:r>
        <w:rPr>
          <w:rFonts w:hint="eastAsia" w:ascii="Times New Roman" w:hAnsi="Times New Roman" w:eastAsia="仿宋_GB2312" w:cs="Times New Roman"/>
          <w:color w:val="000000" w:themeColor="text1"/>
          <w:kern w:val="2"/>
          <w:sz w:val="32"/>
          <w:szCs w:val="32"/>
          <w:highlight w:val="none"/>
          <w:lang w:val="en-US" w:eastAsia="zh-CN" w:bidi="ar-SA"/>
          <w14:textFill>
            <w14:solidFill>
              <w14:schemeClr w14:val="tx1"/>
            </w14:solidFill>
          </w14:textFill>
        </w:rPr>
        <w:t>许可项目</w:t>
      </w:r>
      <w:r>
        <w:rPr>
          <w:rFonts w:hint="default" w:ascii="Times New Roman" w:hAnsi="Times New Roman" w:eastAsia="仿宋_GB2312" w:cs="Times New Roman"/>
          <w:color w:val="000000" w:themeColor="text1"/>
          <w:kern w:val="2"/>
          <w:sz w:val="32"/>
          <w:szCs w:val="32"/>
          <w:highlight w:val="none"/>
          <w:lang w:eastAsia="zh-CN" w:bidi="ar-SA"/>
          <w14:textFill>
            <w14:solidFill>
              <w14:schemeClr w14:val="tx1"/>
            </w14:solidFill>
          </w14:textFill>
        </w:rPr>
        <w:t>：</w:t>
      </w:r>
      <w:r>
        <w:rPr>
          <w:rFonts w:hint="eastAsia" w:ascii="Times New Roman" w:hAnsi="Times New Roman" w:eastAsia="仿宋_GB2312" w:cs="Times New Roman"/>
          <w:color w:val="000000" w:themeColor="text1"/>
          <w:kern w:val="2"/>
          <w:sz w:val="32"/>
          <w:szCs w:val="32"/>
          <w:highlight w:val="none"/>
          <w:lang w:val="en-US" w:eastAsia="zh-CN" w:bidi="ar-SA"/>
          <w14:textFill>
            <w14:solidFill>
              <w14:schemeClr w14:val="tx1"/>
            </w14:solidFill>
          </w14:textFill>
        </w:rPr>
        <w:t>建筑劳务分包；建设工程施工</w:t>
      </w:r>
      <w:r>
        <w:rPr>
          <w:rFonts w:hint="default" w:ascii="Times New Roman" w:hAnsi="Times New Roman" w:eastAsia="仿宋_GB2312" w:cs="Times New Roman"/>
          <w:color w:val="000000" w:themeColor="text1"/>
          <w:kern w:val="2"/>
          <w:sz w:val="32"/>
          <w:szCs w:val="32"/>
          <w:highlight w:val="none"/>
          <w:lang w:eastAsia="zh-CN" w:bidi="ar-SA"/>
          <w14:textFill>
            <w14:solidFill>
              <w14:schemeClr w14:val="tx1"/>
            </w14:solidFill>
          </w14:textFill>
        </w:rPr>
        <w:t>；</w:t>
      </w:r>
      <w:r>
        <w:rPr>
          <w:rFonts w:hint="eastAsia" w:ascii="Times New Roman" w:hAnsi="Times New Roman" w:eastAsia="仿宋_GB2312" w:cs="Times New Roman"/>
          <w:color w:val="000000" w:themeColor="text1"/>
          <w:kern w:val="2"/>
          <w:sz w:val="32"/>
          <w:szCs w:val="32"/>
          <w:highlight w:val="none"/>
          <w:lang w:val="en-US" w:eastAsia="zh-CN" w:bidi="ar-SA"/>
          <w14:textFill>
            <w14:solidFill>
              <w14:schemeClr w14:val="tx1"/>
            </w14:solidFill>
          </w14:textFill>
        </w:rPr>
        <w:t>一般项目：园林绿化工程施工；劳务服务（不含劳务派遣）；安防设备销售；安全技术防范系统设计施工服务；安全系统监控服务；住宅水电安装维护服务；网络技术服务</w:t>
      </w:r>
      <w:r>
        <w:rPr>
          <w:rFonts w:hint="default" w:ascii="Times New Roman" w:hAnsi="Times New Roman" w:eastAsia="仿宋_GB2312" w:cs="Times New Roman"/>
          <w:color w:val="000000" w:themeColor="text1"/>
          <w:kern w:val="2"/>
          <w:sz w:val="32"/>
          <w:szCs w:val="32"/>
          <w:highlight w:val="none"/>
          <w:lang w:eastAsia="zh-CN" w:bidi="ar-SA"/>
          <w14:textFill>
            <w14:solidFill>
              <w14:schemeClr w14:val="tx1"/>
            </w14:solidFill>
          </w14:textFill>
        </w:rPr>
        <w:t>等。</w:t>
      </w:r>
    </w:p>
    <w:p>
      <w:pPr>
        <w:pStyle w:val="9"/>
        <w:keepNext w:val="0"/>
        <w:keepLines w:val="0"/>
        <w:pageBreakBefore w:val="0"/>
        <w:widowControl w:val="0"/>
        <w:kinsoku/>
        <w:wordWrap/>
        <w:overflowPunct/>
        <w:topLinePunct w:val="0"/>
        <w:autoSpaceDE/>
        <w:autoSpaceDN/>
        <w:bidi w:val="0"/>
        <w:adjustRightInd/>
        <w:snapToGrid/>
        <w:spacing w:line="560" w:lineRule="exact"/>
        <w:ind w:left="0" w:leftChars="0" w:firstLine="642" w:firstLineChars="200"/>
        <w:textAlignment w:val="auto"/>
        <w:outlineLvl w:val="1"/>
        <w:rPr>
          <w:rFonts w:hint="default" w:ascii="楷体_GB2312" w:hAnsi="楷体_GB2312" w:eastAsia="楷体_GB2312" w:cs="楷体_GB2312"/>
          <w:b/>
          <w:bCs/>
          <w:sz w:val="32"/>
          <w:szCs w:val="32"/>
          <w:lang w:val="en-US" w:eastAsia="zh-CN"/>
        </w:rPr>
      </w:pPr>
      <w:bookmarkStart w:id="14" w:name="_Toc31275"/>
      <w:r>
        <w:rPr>
          <w:rFonts w:hint="eastAsia" w:ascii="楷体_GB2312" w:hAnsi="楷体_GB2312" w:eastAsia="楷体_GB2312" w:cs="楷体_GB2312"/>
          <w:b/>
          <w:bCs/>
          <w:sz w:val="32"/>
          <w:szCs w:val="32"/>
          <w:lang w:val="en-US" w:eastAsia="zh-CN"/>
        </w:rPr>
        <w:t>（四）事故发生单位安全管理情况</w:t>
      </w:r>
      <w:bookmarkEnd w:id="14"/>
    </w:p>
    <w:p>
      <w:pPr>
        <w:pStyle w:val="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bookmarkStart w:id="15" w:name="_Toc20099"/>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1.武汉信德网络技术工程有限公司（以下简称“信德网络公司”）违法转包作业项目，现场安全检查不到位。</w:t>
      </w:r>
      <w:bookmarkEnd w:id="1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2.武汉宏山白浒供电服务有限公司（</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以下简称“</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白浒供电公司</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）未有效落实生产安全事故隐患排查治理制度。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3.武汉市吴桥养殖场（</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以下简称“</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吴桥养殖场</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）未有效落实生产安全事故隐患排查治理制度。</w:t>
      </w:r>
    </w:p>
    <w:p>
      <w:pPr>
        <w:pStyle w:val="9"/>
        <w:keepNext w:val="0"/>
        <w:keepLines w:val="0"/>
        <w:pageBreakBefore w:val="0"/>
        <w:widowControl w:val="0"/>
        <w:kinsoku/>
        <w:wordWrap/>
        <w:overflowPunct/>
        <w:topLinePunct w:val="0"/>
        <w:autoSpaceDE/>
        <w:autoSpaceDN/>
        <w:bidi w:val="0"/>
        <w:adjustRightInd/>
        <w:snapToGrid/>
        <w:spacing w:line="560" w:lineRule="exact"/>
        <w:ind w:left="0" w:leftChars="0" w:firstLine="642" w:firstLineChars="200"/>
        <w:textAlignment w:val="auto"/>
        <w:outlineLvl w:val="1"/>
        <w:rPr>
          <w:rFonts w:hint="eastAsia" w:ascii="楷体_GB2312" w:hAnsi="楷体_GB2312" w:eastAsia="楷体_GB2312" w:cs="楷体_GB2312"/>
          <w:b/>
          <w:bCs/>
          <w:sz w:val="32"/>
          <w:szCs w:val="32"/>
          <w:lang w:val="en-US" w:eastAsia="zh-CN"/>
        </w:rPr>
      </w:pPr>
      <w:bookmarkStart w:id="16" w:name="_Toc32502"/>
      <w:r>
        <w:rPr>
          <w:rFonts w:hint="eastAsia" w:ascii="楷体_GB2312" w:hAnsi="楷体_GB2312" w:eastAsia="楷体_GB2312" w:cs="楷体_GB2312"/>
          <w:b/>
          <w:bCs/>
          <w:sz w:val="32"/>
          <w:szCs w:val="32"/>
          <w:lang w:val="en-US" w:eastAsia="zh-CN"/>
        </w:rPr>
        <w:t>（五）事故发生经过</w:t>
      </w:r>
      <w:bookmarkEnd w:id="1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bCs/>
          <w:color w:val="000000" w:themeColor="text1"/>
          <w:kern w:val="2"/>
          <w:sz w:val="32"/>
          <w:szCs w:val="32"/>
          <w:u w:val="none" w:color="auto"/>
          <w:lang w:val="en-US" w:eastAsia="zh-CN" w:bidi="ar-SA"/>
          <w14:textFill>
            <w14:solidFill>
              <w14:schemeClr w14:val="tx1"/>
            </w14:solidFill>
          </w14:textFill>
        </w:rPr>
      </w:pPr>
      <w:r>
        <w:rPr>
          <w:rFonts w:hint="eastAsia" w:ascii="宋体" w:hAnsi="宋体" w:eastAsia="宋体" w:cs="宋体"/>
          <w:color w:val="000000" w:themeColor="text1"/>
          <w:sz w:val="32"/>
          <w:szCs w:val="32"/>
          <w:lang w:val="en-US" w:eastAsia="zh-CN"/>
          <w14:textFill>
            <w14:solidFill>
              <w14:schemeClr w14:val="tx1"/>
            </w14:solidFill>
          </w14:textFill>
        </w:rPr>
        <w:t>2024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年</w:t>
      </w:r>
      <w:r>
        <w:rPr>
          <w:rFonts w:hint="eastAsia" w:ascii="宋体" w:hAnsi="宋体" w:eastAsia="宋体" w:cs="宋体"/>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月</w:t>
      </w:r>
      <w:r>
        <w:rPr>
          <w:rFonts w:hint="eastAsia" w:ascii="宋体" w:hAnsi="宋体" w:eastAsia="宋体" w:cs="宋体"/>
          <w:color w:val="000000" w:themeColor="text1"/>
          <w:sz w:val="32"/>
          <w:szCs w:val="32"/>
          <w:lang w:val="en-US" w:eastAsia="zh-CN"/>
          <w14:textFill>
            <w14:solidFill>
              <w14:schemeClr w14:val="tx1"/>
            </w14:solidFill>
          </w14:textFill>
        </w:rPr>
        <w:t>17</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日上午，李某和罗某根据城市视频监控运维项目维护群内的项目故障工单，驾驶车辆来到八吉府街道联丰村沙场排查故障点。</w:t>
      </w:r>
      <w:r>
        <w:rPr>
          <w:rFonts w:hint="eastAsia" w:ascii="宋体" w:hAnsi="宋体" w:eastAsia="宋体" w:cs="宋体"/>
          <w:color w:val="000000" w:themeColor="text1"/>
          <w:sz w:val="32"/>
          <w:szCs w:val="32"/>
          <w:lang w:val="en-US" w:eastAsia="zh-CN"/>
          <w14:textFill>
            <w14:solidFill>
              <w14:schemeClr w14:val="tx1"/>
            </w14:solidFill>
          </w14:textFill>
        </w:rPr>
        <w:t>7</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时</w:t>
      </w:r>
      <w:r>
        <w:rPr>
          <w:rFonts w:hint="eastAsia" w:ascii="宋体" w:hAnsi="宋体" w:eastAsia="宋体" w:cs="宋体"/>
          <w:color w:val="000000" w:themeColor="text1"/>
          <w:sz w:val="32"/>
          <w:szCs w:val="32"/>
          <w:lang w:val="en-US" w:eastAsia="zh-CN"/>
          <w14:textFill>
            <w14:solidFill>
              <w14:schemeClr w14:val="tx1"/>
            </w14:solidFill>
          </w14:textFill>
        </w:rPr>
        <w:t>18</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分许，李某一人沿着联丰村沙场地磅，从两处简易板房中间间隙穿过，进入吴桥养殖场土地平整部分，后顺着城市视频监控电缆线进行故障排查，在巡查至群白线山湖分支</w:t>
      </w:r>
      <w:r>
        <w:rPr>
          <w:rFonts w:hint="eastAsia" w:ascii="宋体" w:hAnsi="宋体" w:eastAsia="宋体" w:cs="宋体"/>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宋体" w:hAnsi="宋体" w:eastAsia="宋体" w:cs="宋体"/>
          <w:color w:val="000000" w:themeColor="text1"/>
          <w:sz w:val="32"/>
          <w:szCs w:val="32"/>
          <w:lang w:val="en-US" w:eastAsia="zh-CN"/>
          <w14:textFill>
            <w14:solidFill>
              <w14:schemeClr w14:val="tx1"/>
            </w14:solidFill>
          </w14:textFill>
        </w:rPr>
        <w:t>7</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号电杆中间位置处（离高压线路水平距离约30</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cm</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）时，被</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10</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kv</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高压线（离地高度最低距离约</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m</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）电击倒地。</w:t>
      </w:r>
    </w:p>
    <w:p>
      <w:pPr>
        <w:pStyle w:val="9"/>
        <w:keepNext w:val="0"/>
        <w:keepLines w:val="0"/>
        <w:pageBreakBefore w:val="0"/>
        <w:widowControl w:val="0"/>
        <w:kinsoku/>
        <w:wordWrap/>
        <w:overflowPunct/>
        <w:autoSpaceDE/>
        <w:autoSpaceDN/>
        <w:bidi w:val="0"/>
        <w:spacing w:line="560" w:lineRule="exact"/>
        <w:ind w:left="0" w:leftChars="0" w:firstLine="642" w:firstLineChars="200"/>
        <w:textAlignment w:val="auto"/>
        <w:outlineLvl w:val="1"/>
        <w:rPr>
          <w:rFonts w:hint="eastAsia" w:ascii="楷体_GB2312" w:hAnsi="楷体_GB2312" w:eastAsia="楷体_GB2312" w:cs="楷体_GB2312"/>
          <w:b/>
          <w:bCs/>
          <w:sz w:val="32"/>
          <w:szCs w:val="32"/>
          <w:lang w:val="en-US" w:eastAsia="zh-CN"/>
        </w:rPr>
      </w:pPr>
      <w:bookmarkStart w:id="17" w:name="_Toc17757"/>
      <w:r>
        <w:rPr>
          <w:rFonts w:hint="eastAsia" w:ascii="楷体_GB2312" w:hAnsi="楷体_GB2312" w:eastAsia="楷体_GB2312" w:cs="楷体_GB2312"/>
          <w:b/>
          <w:bCs/>
          <w:sz w:val="32"/>
          <w:szCs w:val="32"/>
          <w:lang w:val="en-US" w:eastAsia="zh-CN"/>
        </w:rPr>
        <w:t>（六）事故现场情况</w:t>
      </w:r>
      <w:bookmarkEnd w:id="17"/>
    </w:p>
    <w:p>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default" w:ascii="楷体_GB2312" w:hAnsi="楷体_GB2312" w:eastAsia="楷体_GB2312" w:cs="楷体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本次事故地点为吴桥养殖场内，李某被电击位置为群白线</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6</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#杆、</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7</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#杆高压线路水平距离约</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30</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cm</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位置（图</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p>
    <w:p>
      <w:pPr>
        <w:keepNext w:val="0"/>
        <w:keepLines w:val="0"/>
        <w:pageBreakBefore w:val="0"/>
        <w:widowControl w:val="0"/>
        <w:kinsoku/>
        <w:wordWrap/>
        <w:overflowPunct/>
        <w:autoSpaceDE/>
        <w:autoSpaceDN/>
        <w:bidi w:val="0"/>
        <w:spacing w:line="560" w:lineRule="exact"/>
        <w:jc w:val="center"/>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-635</wp:posOffset>
            </wp:positionH>
            <wp:positionV relativeFrom="paragraph">
              <wp:posOffset>240030</wp:posOffset>
            </wp:positionV>
            <wp:extent cx="5607685" cy="3148965"/>
            <wp:effectExtent l="0" t="0" r="12065" b="13335"/>
            <wp:wrapSquare wrapText="bothSides"/>
            <wp:docPr id="2" name="图片 2" descr="1721375636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21375636423"/>
                    <pic:cNvPicPr>
                      <a:picLocks noChangeAspect="1"/>
                    </pic:cNvPicPr>
                  </pic:nvPicPr>
                  <pic:blipFill>
                    <a:blip r:embed="rId6"/>
                    <a:stretch>
                      <a:fillRect/>
                    </a:stretch>
                  </pic:blipFill>
                  <pic:spPr>
                    <a:xfrm>
                      <a:off x="0" y="0"/>
                      <a:ext cx="5607685" cy="3148965"/>
                    </a:xfrm>
                    <a:prstGeom prst="rect">
                      <a:avLst/>
                    </a:prstGeom>
                  </pic:spPr>
                </pic:pic>
              </a:graphicData>
            </a:graphic>
          </wp:anchor>
        </w:drawing>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（图</w:t>
      </w:r>
      <w:r>
        <w:rPr>
          <w:rFonts w:hint="eastAsia" w:ascii="宋体" w:hAnsi="宋体" w:eastAsia="宋体" w:cs="宋体"/>
          <w:color w:val="000000" w:themeColor="text1"/>
          <w:kern w:val="2"/>
          <w:sz w:val="32"/>
          <w:szCs w:val="32"/>
          <w:lang w:val="en-US" w:eastAsia="zh-CN" w:bidi="ar-SA"/>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：死者倒地位置）</w:t>
      </w:r>
    </w:p>
    <w:p>
      <w:pPr>
        <w:pStyle w:val="9"/>
        <w:keepNext w:val="0"/>
        <w:keepLines w:val="0"/>
        <w:pageBreakBefore w:val="0"/>
        <w:widowControl w:val="0"/>
        <w:kinsoku/>
        <w:wordWrap/>
        <w:overflowPunct/>
        <w:autoSpaceDE/>
        <w:autoSpaceDN/>
        <w:bidi w:val="0"/>
        <w:spacing w:line="560" w:lineRule="exact"/>
        <w:ind w:left="0" w:leftChars="0" w:firstLine="642" w:firstLineChars="200"/>
        <w:textAlignment w:val="auto"/>
        <w:outlineLvl w:val="1"/>
        <w:rPr>
          <w:rFonts w:hint="eastAsia" w:ascii="楷体_GB2312" w:hAnsi="楷体_GB2312" w:eastAsia="楷体_GB2312" w:cs="楷体_GB2312"/>
          <w:b/>
          <w:bCs/>
          <w:sz w:val="32"/>
          <w:szCs w:val="32"/>
          <w:lang w:val="en-US" w:eastAsia="zh-CN"/>
        </w:rPr>
      </w:pPr>
      <w:bookmarkStart w:id="18" w:name="_Toc2645"/>
      <w:r>
        <w:rPr>
          <w:rFonts w:hint="eastAsia" w:ascii="楷体_GB2312" w:hAnsi="楷体_GB2312" w:eastAsia="楷体_GB2312" w:cs="楷体_GB2312"/>
          <w:b/>
          <w:bCs/>
          <w:sz w:val="32"/>
          <w:szCs w:val="32"/>
          <w:lang w:val="en-US" w:eastAsia="zh-CN"/>
        </w:rPr>
        <w:t>（七）人员伤亡和直接经济损失情况</w:t>
      </w:r>
      <w:bookmarkEnd w:id="18"/>
    </w:p>
    <w:p>
      <w:pPr>
        <w:keepNext w:val="0"/>
        <w:keepLines w:val="0"/>
        <w:pageBreakBefore w:val="0"/>
        <w:widowControl w:val="0"/>
        <w:kinsoku/>
        <w:wordWrap/>
        <w:overflowPunct/>
        <w:autoSpaceDE/>
        <w:autoSpaceDN/>
        <w:bidi w:val="0"/>
        <w:spacing w:line="560" w:lineRule="exact"/>
        <w:ind w:firstLine="642" w:firstLineChars="200"/>
        <w:textAlignment w:val="auto"/>
        <w:rPr>
          <w:rFonts w:hint="default"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1.人员伤亡情况。</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事故造成</w:t>
      </w:r>
      <w:r>
        <w:rPr>
          <w:rFonts w:hint="eastAsia" w:ascii="宋体" w:hAnsi="宋体" w:eastAsia="宋体" w:cs="宋体"/>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人死亡：李某，</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为</w:t>
      </w:r>
      <w:r>
        <w:rPr>
          <w:rFonts w:hint="default" w:ascii="仿宋_GB2312" w:hAnsi="仿宋_GB2312" w:eastAsia="仿宋_GB2312" w:cs="仿宋_GB2312"/>
          <w:color w:val="000000" w:themeColor="text1"/>
          <w:sz w:val="32"/>
          <w:szCs w:val="32"/>
          <w:highlight w:val="none"/>
          <w:lang w:val="en-US" w:eastAsia="zh-CN"/>
          <w14:textFill>
            <w14:solidFill>
              <w14:schemeClr w14:val="tx1"/>
            </w14:solidFill>
          </w14:textFill>
        </w:rPr>
        <w:t>武汉杰世梦建筑劳务有限公司</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实际控制人及负责人，与公司法定代表人罗某为夫妻关系。</w:t>
      </w:r>
    </w:p>
    <w:p>
      <w:pPr>
        <w:keepNext w:val="0"/>
        <w:keepLines w:val="0"/>
        <w:pageBreakBefore w:val="0"/>
        <w:widowControl w:val="0"/>
        <w:kinsoku/>
        <w:wordWrap/>
        <w:overflowPunct/>
        <w:autoSpaceDE/>
        <w:autoSpaceDN/>
        <w:bidi w:val="0"/>
        <w:spacing w:line="560" w:lineRule="exact"/>
        <w:ind w:firstLine="642"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2.事故损失情况。</w:t>
      </w:r>
      <w:r>
        <w:rPr>
          <w:rFonts w:hint="eastAsia" w:ascii="仿宋_GB2312" w:hAnsi="仿宋_GB2312" w:eastAsia="仿宋_GB2312" w:cs="仿宋_GB2312"/>
          <w:color w:val="auto"/>
          <w:sz w:val="32"/>
          <w:szCs w:val="32"/>
        </w:rPr>
        <w:t>根据《企业职工伤亡事故经济损失统计标准》（</w:t>
      </w:r>
      <w:r>
        <w:rPr>
          <w:rFonts w:hint="default" w:ascii="Times New Roman" w:hAnsi="Times New Roman" w:eastAsia="仿宋_GB2312" w:cs="Times New Roman"/>
          <w:color w:val="auto"/>
          <w:sz w:val="32"/>
          <w:szCs w:val="32"/>
        </w:rPr>
        <w:t>GB</w:t>
      </w:r>
      <w:r>
        <w:rPr>
          <w:rFonts w:hint="eastAsia" w:ascii="宋体" w:hAnsi="宋体" w:eastAsia="宋体" w:cs="宋体"/>
          <w:color w:val="000000" w:themeColor="text1"/>
          <w:sz w:val="32"/>
          <w:szCs w:val="32"/>
          <w:lang w:val="en-US" w:eastAsia="zh-CN"/>
          <w14:textFill>
            <w14:solidFill>
              <w14:schemeClr w14:val="tx1"/>
            </w14:solidFill>
          </w14:textFill>
        </w:rPr>
        <w:t xml:space="preserve"> 6721-1986</w:t>
      </w:r>
      <w:r>
        <w:rPr>
          <w:rFonts w:hint="eastAsia" w:ascii="仿宋_GB2312" w:hAnsi="仿宋_GB2312" w:eastAsia="仿宋_GB2312" w:cs="仿宋_GB2312"/>
          <w:color w:val="auto"/>
          <w:sz w:val="32"/>
          <w:szCs w:val="32"/>
        </w:rPr>
        <w:t>）的规定，</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事故造成直接经济损失为</w:t>
      </w:r>
      <w:r>
        <w:rPr>
          <w:rFonts w:hint="eastAsia" w:ascii="宋体" w:hAnsi="宋体" w:eastAsia="宋体" w:cs="宋体"/>
          <w:color w:val="000000" w:themeColor="text1"/>
          <w:sz w:val="32"/>
          <w:szCs w:val="32"/>
          <w:lang w:val="en-US" w:eastAsia="zh-CN"/>
          <w14:textFill>
            <w14:solidFill>
              <w14:schemeClr w14:val="tx1"/>
            </w14:solidFill>
          </w14:textFill>
        </w:rPr>
        <w:t>150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万余元。</w:t>
      </w:r>
    </w:p>
    <w:p>
      <w:pPr>
        <w:pStyle w:val="9"/>
        <w:keepNext w:val="0"/>
        <w:keepLines w:val="0"/>
        <w:pageBreakBefore w:val="0"/>
        <w:widowControl w:val="0"/>
        <w:kinsoku/>
        <w:wordWrap/>
        <w:overflowPunct/>
        <w:autoSpaceDE/>
        <w:autoSpaceDN/>
        <w:bidi w:val="0"/>
        <w:spacing w:line="560" w:lineRule="exact"/>
        <w:ind w:left="0" w:leftChars="0" w:firstLine="642" w:firstLineChars="200"/>
        <w:textAlignment w:val="auto"/>
        <w:outlineLvl w:val="1"/>
        <w:rPr>
          <w:rFonts w:hint="eastAsia" w:ascii="楷体_GB2312" w:hAnsi="楷体_GB2312" w:eastAsia="楷体_GB2312" w:cs="楷体_GB2312"/>
          <w:b/>
          <w:bCs/>
          <w:sz w:val="32"/>
          <w:szCs w:val="32"/>
          <w:lang w:val="en-US" w:eastAsia="zh-CN"/>
        </w:rPr>
      </w:pPr>
      <w:bookmarkStart w:id="19" w:name="_Toc21655"/>
      <w:r>
        <w:rPr>
          <w:rFonts w:hint="eastAsia" w:ascii="楷体_GB2312" w:hAnsi="楷体_GB2312" w:eastAsia="楷体_GB2312" w:cs="楷体_GB2312"/>
          <w:b/>
          <w:bCs/>
          <w:sz w:val="32"/>
          <w:szCs w:val="32"/>
          <w:lang w:val="en-US" w:eastAsia="zh-CN"/>
        </w:rPr>
        <w:t>（八）事故项目有关情况</w:t>
      </w:r>
      <w:bookmarkEnd w:id="19"/>
    </w:p>
    <w:p>
      <w:pPr>
        <w:pStyle w:val="17"/>
        <w:keepNext w:val="0"/>
        <w:keepLines w:val="0"/>
        <w:pageBreakBefore w:val="0"/>
        <w:widowControl w:val="0"/>
        <w:kinsoku/>
        <w:wordWrap/>
        <w:overflowPunct/>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1.城市视频监控运维项目电缆线路系从联丰沙场接出，从群白线山湖分支</w:t>
      </w:r>
      <w:r>
        <w:rPr>
          <w:rFonts w:hint="eastAsia" w:ascii="宋体" w:hAnsi="宋体" w:eastAsia="宋体" w:cs="宋体"/>
          <w:color w:val="000000" w:themeColor="text1"/>
          <w:kern w:val="2"/>
          <w:sz w:val="32"/>
          <w:szCs w:val="32"/>
          <w:u w:val="none"/>
          <w:lang w:val="en-US" w:eastAsia="zh-CN" w:bidi="ar-SA"/>
          <w14:textFill>
            <w14:solidFill>
              <w14:schemeClr w14:val="tx1"/>
            </w14:solidFill>
          </w14:textFill>
        </w:rPr>
        <w:t>5</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杆</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w:t>
      </w:r>
      <w:r>
        <w:rPr>
          <w:rFonts w:hint="eastAsia" w:ascii="宋体" w:hAnsi="宋体" w:eastAsia="宋体" w:cs="宋体"/>
          <w:color w:val="000000" w:themeColor="text1"/>
          <w:kern w:val="2"/>
          <w:sz w:val="32"/>
          <w:szCs w:val="32"/>
          <w:u w:val="none"/>
          <w:lang w:val="en-US" w:eastAsia="zh-CN" w:bidi="ar-SA"/>
          <w14:textFill>
            <w14:solidFill>
              <w14:schemeClr w14:val="tx1"/>
            </w14:solidFill>
          </w14:textFill>
        </w:rPr>
        <w:t>6</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#杆架空进入事故发生位置，在</w:t>
      </w:r>
      <w:r>
        <w:rPr>
          <w:rFonts w:hint="eastAsia" w:ascii="宋体" w:hAnsi="宋体" w:eastAsia="宋体" w:cs="宋体"/>
          <w:color w:val="000000" w:themeColor="text1"/>
          <w:kern w:val="2"/>
          <w:sz w:val="32"/>
          <w:szCs w:val="32"/>
          <w:u w:val="none"/>
          <w:lang w:val="en-US" w:eastAsia="zh-CN" w:bidi="ar-SA"/>
          <w14:textFill>
            <w14:solidFill>
              <w14:schemeClr w14:val="tx1"/>
            </w14:solidFill>
          </w14:textFill>
        </w:rPr>
        <w:t>6</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#杆、</w:t>
      </w:r>
      <w:r>
        <w:rPr>
          <w:rFonts w:hint="eastAsia" w:ascii="宋体" w:hAnsi="宋体" w:eastAsia="宋体" w:cs="宋体"/>
          <w:color w:val="000000" w:themeColor="text1"/>
          <w:kern w:val="2"/>
          <w:sz w:val="32"/>
          <w:szCs w:val="32"/>
          <w:u w:val="none"/>
          <w:lang w:val="en-US" w:eastAsia="zh-CN" w:bidi="ar-SA"/>
          <w14:textFill>
            <w14:solidFill>
              <w14:schemeClr w14:val="tx1"/>
            </w14:solidFill>
          </w14:textFill>
        </w:rPr>
        <w:t>7</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#杆之间沿地敷设（未做埋地或套管处理），距离事故高压线路水平距离大约</w:t>
      </w:r>
      <w:r>
        <w:rPr>
          <w:rFonts w:hint="eastAsia" w:ascii="宋体" w:hAnsi="宋体" w:eastAsia="宋体" w:cs="宋体"/>
          <w:color w:val="000000" w:themeColor="text1"/>
          <w:kern w:val="2"/>
          <w:sz w:val="32"/>
          <w:szCs w:val="32"/>
          <w:u w:val="none"/>
          <w:lang w:val="en-US" w:eastAsia="zh-CN" w:bidi="ar-SA"/>
          <w14:textFill>
            <w14:solidFill>
              <w14:schemeClr w14:val="tx1"/>
            </w14:solidFill>
          </w14:textFill>
        </w:rPr>
        <w:t>30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cm</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p>
    <w:p>
      <w:pPr>
        <w:keepNext w:val="0"/>
        <w:keepLines w:val="0"/>
        <w:pageBreakBefore w:val="0"/>
        <w:widowControl w:val="0"/>
        <w:kinsoku/>
        <w:wordWrap/>
        <w:overflowPunct/>
        <w:autoSpaceDE/>
        <w:autoSpaceDN/>
        <w:bidi w:val="0"/>
        <w:spacing w:line="560" w:lineRule="exact"/>
        <w:ind w:firstLine="640" w:firstLineChars="200"/>
        <w:textAlignment w:val="auto"/>
        <w:rPr>
          <w:rFonts w:hint="default"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2023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年</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月，</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中国联通网络通信有限公司武汉分公司（乙一方，以下简称“联通武汉公司”）和景网技术有限公司（乙二方，以下简称“景网公司”）联合中标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武汉市公安局青山区分局（钢城分局）青山区城市视频监控运维项目（以下简称“2023年度运维项目”）。其中</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乙一方负责提供为期一年城市视频监控二期</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240</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路及化工片区城市视频监控</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693</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路线路运维服务、城市视频监控二期</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240</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前端点位维护及电力配套服务、化工区</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123</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期中心机房设备维护、供电运维及电力配套服务、</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800</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路社区监控系统服务（具体点位以实际下达或交接为准）。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服务期限为</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2023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年</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月</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日至</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2024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年</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月</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28</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日，双方约定运维服务期满后，若终止合同，确定一个月的维护过渡期间，在过渡期内乙方继续为甲方提供服务。</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联通武汉公司在</w:t>
      </w:r>
      <w:r>
        <w:rPr>
          <w:rFonts w:hint="eastAsia" w:ascii="宋体" w:hAnsi="宋体" w:eastAsia="宋体" w:cs="宋体"/>
          <w:b/>
          <w:bCs/>
          <w:color w:val="000000" w:themeColor="text1"/>
          <w:sz w:val="32"/>
          <w:szCs w:val="32"/>
          <w:lang w:val="en-US" w:eastAsia="zh-CN"/>
          <w14:textFill>
            <w14:solidFill>
              <w14:schemeClr w14:val="tx1"/>
            </w14:solidFill>
          </w14:textFill>
        </w:rPr>
        <w:t>2023</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年度运维服务期满后至</w:t>
      </w:r>
      <w:r>
        <w:rPr>
          <w:rFonts w:hint="eastAsia" w:ascii="宋体" w:hAnsi="宋体" w:eastAsia="宋体" w:cs="宋体"/>
          <w:b/>
          <w:bCs/>
          <w:color w:val="000000" w:themeColor="text1"/>
          <w:sz w:val="32"/>
          <w:szCs w:val="32"/>
          <w:lang w:val="en-US" w:eastAsia="zh-CN"/>
          <w14:textFill>
            <w14:solidFill>
              <w14:schemeClr w14:val="tx1"/>
            </w14:solidFill>
          </w14:textFill>
        </w:rPr>
        <w:t>2024</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年度合同（</w:t>
      </w:r>
      <w:r>
        <w:rPr>
          <w:rFonts w:hint="eastAsia" w:ascii="宋体" w:hAnsi="宋体" w:eastAsia="宋体" w:cs="宋体"/>
          <w:b/>
          <w:bCs/>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月</w:t>
      </w:r>
      <w:r>
        <w:rPr>
          <w:rFonts w:hint="eastAsia" w:ascii="宋体" w:hAnsi="宋体" w:eastAsia="宋体" w:cs="宋体"/>
          <w:b/>
          <w:bCs/>
          <w:color w:val="000000" w:themeColor="text1"/>
          <w:sz w:val="32"/>
          <w:szCs w:val="32"/>
          <w:lang w:val="en-US" w:eastAsia="zh-CN"/>
          <w14:textFill>
            <w14:solidFill>
              <w14:schemeClr w14:val="tx1"/>
            </w14:solidFill>
          </w14:textFill>
        </w:rPr>
        <w:t>30</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日）签订前，仍延续对</w:t>
      </w:r>
      <w:r>
        <w:rPr>
          <w:rFonts w:hint="eastAsia" w:ascii="宋体" w:hAnsi="宋体" w:eastAsia="宋体" w:cs="宋体"/>
          <w:b/>
          <w:bCs/>
          <w:color w:val="000000" w:themeColor="text1"/>
          <w:sz w:val="32"/>
          <w:szCs w:val="32"/>
          <w:lang w:val="en-US" w:eastAsia="zh-CN"/>
          <w14:textFill>
            <w14:solidFill>
              <w14:schemeClr w14:val="tx1"/>
            </w14:solidFill>
          </w14:textFill>
        </w:rPr>
        <w:t>2023</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年度运维项目的运维服务。</w:t>
      </w:r>
    </w:p>
    <w:p>
      <w:pPr>
        <w:keepNext w:val="0"/>
        <w:keepLines w:val="0"/>
        <w:pageBreakBefore w:val="0"/>
        <w:widowControl w:val="0"/>
        <w:kinsoku/>
        <w:wordWrap/>
        <w:overflowPunct/>
        <w:autoSpaceDE/>
        <w:autoSpaceDN/>
        <w:bidi w:val="0"/>
        <w:spacing w:line="560" w:lineRule="exact"/>
        <w:ind w:firstLine="640" w:firstLineChars="200"/>
        <w:textAlignment w:val="auto"/>
        <w:rPr>
          <w:rFonts w:hint="default"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3.</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2023</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年</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4</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月，</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联通武汉公司（甲方）将除化工片区</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1、2</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期城市视频监控运维服务之外的项目内部转签给</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联通（湖北）产业互联网有限公司（乙方，以下简称“联通湖北产互公司”）。服务期限为</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2023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年</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月</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日至</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2024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年</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月</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日，并在合同内约定运维服务期满后，若终止合同，确定一个月的维护过渡期间，在过渡期内乙方继续为甲方提供服务。</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联通湖北产互公司在维护过渡期间保持对项目的运维服务。</w:t>
      </w:r>
    </w:p>
    <w:p>
      <w:pPr>
        <w:pStyle w:val="17"/>
        <w:keepNext w:val="0"/>
        <w:keepLines w:val="0"/>
        <w:pageBreakBefore w:val="0"/>
        <w:widowControl w:val="0"/>
        <w:kinsoku/>
        <w:wordWrap/>
        <w:overflowPunct/>
        <w:autoSpaceDE/>
        <w:autoSpaceDN/>
        <w:bidi w:val="0"/>
        <w:spacing w:line="560" w:lineRule="exact"/>
        <w:ind w:left="0" w:leftChars="0" w:firstLine="64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2023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年</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月，联通湖北产互公司（甲方）将化工片区城市视频监控系统3期的外场线路及电力配套服务分包给</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信德网络公司</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（乙方）。服务期限为</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2023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年</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月</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26</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日至</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2024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年</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月</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日。</w:t>
      </w:r>
      <w:r>
        <w:rPr>
          <w:rFonts w:hint="eastAsia" w:ascii="Times New Roman" w:hAnsi="Times New Roman" w:eastAsia="仿宋_GB2312" w:cs="Times New Roman"/>
          <w:b/>
          <w:bCs/>
          <w:color w:val="000000" w:themeColor="text1"/>
          <w:kern w:val="2"/>
          <w:sz w:val="32"/>
          <w:szCs w:val="32"/>
          <w:lang w:val="en-US" w:eastAsia="zh-CN" w:bidi="ar-SA"/>
          <w14:textFill>
            <w14:solidFill>
              <w14:schemeClr w14:val="tx1"/>
            </w14:solidFill>
          </w14:textFill>
        </w:rPr>
        <w:t>信德网络公司</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在服务期内持续为项目提供运维服务。</w:t>
      </w:r>
    </w:p>
    <w:p>
      <w:pPr>
        <w:pStyle w:val="17"/>
        <w:keepNext w:val="0"/>
        <w:keepLines w:val="0"/>
        <w:pageBreakBefore w:val="0"/>
        <w:widowControl w:val="0"/>
        <w:kinsoku/>
        <w:wordWrap/>
        <w:overflowPunct/>
        <w:autoSpaceDE/>
        <w:autoSpaceDN/>
        <w:bidi w:val="0"/>
        <w:spacing w:line="560" w:lineRule="exact"/>
        <w:ind w:left="0" w:leftChars="0" w:firstLine="640" w:firstLineChars="200"/>
        <w:textAlignment w:val="auto"/>
        <w:rPr>
          <w:rFonts w:hint="eastAsia"/>
          <w:highlight w:val="none"/>
          <w:lang w:val="en-US" w:eastAsia="zh-CN"/>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5.</w:t>
      </w:r>
      <w:r>
        <w:rPr>
          <w:rFonts w:hint="eastAsia" w:ascii="宋体" w:hAnsi="宋体" w:eastAsia="宋体" w:cs="宋体"/>
          <w:color w:val="000000" w:themeColor="text1"/>
          <w:kern w:val="2"/>
          <w:sz w:val="32"/>
          <w:szCs w:val="32"/>
          <w:highlight w:val="none"/>
          <w:u w:val="none" w:color="auto"/>
          <w:lang w:val="en-US" w:eastAsia="zh-CN" w:bidi="ar-SA"/>
          <w14:textFill>
            <w14:solidFill>
              <w14:schemeClr w14:val="tx1"/>
            </w14:solidFill>
          </w14:textFill>
        </w:rPr>
        <w:t>2023</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年，武汉信德网络技术工程有限公司与武汉杰世梦建筑劳务有限公司（以下简称“杰世梦劳务公司”）签订《通信工程施工协议》，就武汉市公安局青山区分局（钢城分局）青山区城市视频监控运维项目的有关事宜达成协议，施工工期为</w:t>
      </w:r>
      <w:r>
        <w:rPr>
          <w:rFonts w:hint="eastAsia" w:ascii="宋体" w:hAnsi="宋体" w:eastAsia="宋体" w:cs="宋体"/>
          <w:color w:val="000000" w:themeColor="text1"/>
          <w:kern w:val="2"/>
          <w:sz w:val="32"/>
          <w:szCs w:val="32"/>
          <w:highlight w:val="none"/>
          <w:u w:val="none" w:color="auto"/>
          <w:lang w:val="en-US" w:eastAsia="zh-CN" w:bidi="ar-SA"/>
          <w14:textFill>
            <w14:solidFill>
              <w14:schemeClr w14:val="tx1"/>
            </w14:solidFill>
          </w14:textFill>
        </w:rPr>
        <w:t>2023</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年</w:t>
      </w:r>
      <w:r>
        <w:rPr>
          <w:rFonts w:hint="eastAsia" w:ascii="宋体" w:hAnsi="宋体" w:eastAsia="宋体" w:cs="宋体"/>
          <w:color w:val="000000" w:themeColor="text1"/>
          <w:kern w:val="2"/>
          <w:sz w:val="32"/>
          <w:szCs w:val="32"/>
          <w:highlight w:val="none"/>
          <w:u w:val="none" w:color="auto"/>
          <w:lang w:val="en-US" w:eastAsia="zh-CN" w:bidi="ar-SA"/>
          <w14:textFill>
            <w14:solidFill>
              <w14:schemeClr w14:val="tx1"/>
            </w14:solidFill>
          </w14:textFill>
        </w:rPr>
        <w:t>1</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月</w:t>
      </w:r>
      <w:r>
        <w:rPr>
          <w:rFonts w:hint="eastAsia" w:ascii="宋体" w:hAnsi="宋体" w:eastAsia="宋体" w:cs="宋体"/>
          <w:color w:val="000000" w:themeColor="text1"/>
          <w:kern w:val="2"/>
          <w:sz w:val="32"/>
          <w:szCs w:val="32"/>
          <w:highlight w:val="none"/>
          <w:u w:val="none" w:color="auto"/>
          <w:lang w:val="en-US" w:eastAsia="zh-CN" w:bidi="ar-SA"/>
          <w14:textFill>
            <w14:solidFill>
              <w14:schemeClr w14:val="tx1"/>
            </w14:solidFill>
          </w14:textFill>
        </w:rPr>
        <w:t>1</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日至</w:t>
      </w:r>
      <w:r>
        <w:rPr>
          <w:rFonts w:hint="eastAsia" w:ascii="宋体" w:hAnsi="宋体" w:eastAsia="宋体" w:cs="宋体"/>
          <w:color w:val="000000" w:themeColor="text1"/>
          <w:kern w:val="2"/>
          <w:sz w:val="32"/>
          <w:szCs w:val="32"/>
          <w:highlight w:val="none"/>
          <w:u w:val="none" w:color="auto"/>
          <w:lang w:val="en-US" w:eastAsia="zh-CN" w:bidi="ar-SA"/>
          <w14:textFill>
            <w14:solidFill>
              <w14:schemeClr w14:val="tx1"/>
            </w14:solidFill>
          </w14:textFill>
        </w:rPr>
        <w:t>2023</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年</w:t>
      </w:r>
      <w:r>
        <w:rPr>
          <w:rFonts w:hint="eastAsia" w:ascii="宋体" w:hAnsi="宋体" w:eastAsia="宋体" w:cs="宋体"/>
          <w:color w:val="000000" w:themeColor="text1"/>
          <w:kern w:val="2"/>
          <w:sz w:val="32"/>
          <w:szCs w:val="32"/>
          <w:highlight w:val="none"/>
          <w:u w:val="none" w:color="auto"/>
          <w:lang w:val="en-US" w:eastAsia="zh-CN" w:bidi="ar-SA"/>
          <w14:textFill>
            <w14:solidFill>
              <w14:schemeClr w14:val="tx1"/>
            </w14:solidFill>
          </w14:textFill>
        </w:rPr>
        <w:t>12</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月</w:t>
      </w:r>
      <w:r>
        <w:rPr>
          <w:rFonts w:hint="eastAsia" w:ascii="宋体" w:hAnsi="宋体" w:eastAsia="宋体" w:cs="宋体"/>
          <w:color w:val="000000" w:themeColor="text1"/>
          <w:kern w:val="2"/>
          <w:sz w:val="32"/>
          <w:szCs w:val="32"/>
          <w:highlight w:val="none"/>
          <w:u w:val="none" w:color="auto"/>
          <w:lang w:val="en-US" w:eastAsia="zh-CN" w:bidi="ar-SA"/>
          <w14:textFill>
            <w14:solidFill>
              <w14:schemeClr w14:val="tx1"/>
            </w14:solidFill>
          </w14:textFill>
        </w:rPr>
        <w:t>31</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日。</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杰世梦劳务公司在协议期满后仍延续对城市视频监控运维项目施工协议约定的运维服务。</w:t>
      </w:r>
    </w:p>
    <w:p>
      <w:pPr>
        <w:pStyle w:val="9"/>
        <w:keepNext w:val="0"/>
        <w:keepLines w:val="0"/>
        <w:pageBreakBefore w:val="0"/>
        <w:widowControl w:val="0"/>
        <w:kinsoku/>
        <w:wordWrap/>
        <w:overflowPunct/>
        <w:autoSpaceDE/>
        <w:autoSpaceDN/>
        <w:bidi w:val="0"/>
        <w:spacing w:line="560" w:lineRule="exact"/>
        <w:ind w:left="0" w:leftChars="0" w:firstLine="642" w:firstLineChars="200"/>
        <w:textAlignment w:val="auto"/>
        <w:outlineLvl w:val="1"/>
        <w:rPr>
          <w:rFonts w:hint="default" w:ascii="楷体_GB2312" w:hAnsi="楷体_GB2312" w:eastAsia="楷体_GB2312" w:cs="楷体_GB2312"/>
          <w:b/>
          <w:bCs/>
          <w:sz w:val="32"/>
          <w:szCs w:val="32"/>
          <w:lang w:val="en-US" w:eastAsia="zh-CN"/>
        </w:rPr>
      </w:pPr>
      <w:bookmarkStart w:id="20" w:name="_Toc17730"/>
      <w:r>
        <w:rPr>
          <w:rFonts w:hint="eastAsia" w:ascii="楷体_GB2312" w:hAnsi="楷体_GB2312" w:eastAsia="楷体_GB2312" w:cs="楷体_GB2312"/>
          <w:b/>
          <w:bCs/>
          <w:sz w:val="32"/>
          <w:szCs w:val="32"/>
          <w:lang w:val="en-US" w:eastAsia="zh-CN"/>
        </w:rPr>
        <w:t>（九）事故高压线路有关情况</w:t>
      </w:r>
      <w:bookmarkEnd w:id="20"/>
    </w:p>
    <w:p>
      <w:pPr>
        <w:pStyle w:val="17"/>
        <w:keepNext w:val="0"/>
        <w:keepLines w:val="0"/>
        <w:pageBreakBefore w:val="0"/>
        <w:widowControl w:val="0"/>
        <w:kinsoku/>
        <w:wordWrap/>
        <w:overflowPunct/>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1.</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2024</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年春节复工复产后，吴桥养殖场发现划湖队区域90亩土地平整项目（以下简称“土地平整项目”）现场存在高压线路离地面过近情况，要求武汉伍陆柒工贸有限公司（以下简称“伍陆柒公司”）联系白浒供电公司进行处理，三方多次在现场就相关情况进行沟通，但均未达成一致意见。</w:t>
      </w:r>
    </w:p>
    <w:p>
      <w:pPr>
        <w:pStyle w:val="17"/>
        <w:keepNext w:val="0"/>
        <w:keepLines w:val="0"/>
        <w:pageBreakBefore w:val="0"/>
        <w:widowControl w:val="0"/>
        <w:kinsoku/>
        <w:wordWrap/>
        <w:overflowPunct/>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2.</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2024</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年</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3</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月</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24</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日，伍陆柒公司在回填平整土地时发现群白线山湖分支</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6</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#杆、7#杆间高压线路离地安全距离不足，遂在</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6</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#杆往</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7</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#杆方向右侧拉设警戒线和警示牌（左侧因存在淤泥难以通行</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而未设置相关警示设施），并将隐患问题情况上报给</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吴桥养殖场。</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27</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日，白浒供电公司因</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6</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#杆、</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7</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杆间高压线路被扯断导致跳闸停电，派工作人员到现场进行紧急恢复处理，处理后高压线离地距离约有</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m</w:t>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0"/>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，不满足</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kv高压线路离地安全距离。</w:t>
      </w:r>
    </w:p>
    <w:p>
      <w:pPr>
        <w:pStyle w:val="17"/>
        <w:keepNext w:val="0"/>
        <w:keepLines w:val="0"/>
        <w:pageBreakBefore w:val="0"/>
        <w:widowControl w:val="0"/>
        <w:kinsoku/>
        <w:wordWrap/>
        <w:overflowPunct/>
        <w:autoSpaceDE/>
        <w:autoSpaceDN/>
        <w:bidi w:val="0"/>
        <w:spacing w:line="560" w:lineRule="exact"/>
        <w:ind w:left="0" w:leftChars="0" w:firstLine="640" w:firstLineChars="200"/>
        <w:textAlignment w:val="auto"/>
        <w:rPr>
          <w:rFonts w:hint="default"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2024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年</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4</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月</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21</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日，伍陆柒公司因土地平整项目靠近花山大道部分堆土过高返回现场降低高度时，发现</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群白线山湖分支</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6</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#杆、</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7</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杆间高压线路下垂接触地面，遂通知</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白浒供电公司前来处理。白浒供电公司到达现场后指出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高压线路下垂</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是因堆土过高倾倒挤压导致</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7</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杆倾斜，要求</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伍陆柒公司用推土机将</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7</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#杆扶正。电杆扶正后，白浒供电公司收紧高压线路，但此时高压线路最低位置离地距离仍不满足要求。</w:t>
      </w:r>
    </w:p>
    <w:p>
      <w:pPr>
        <w:keepNext w:val="0"/>
        <w:keepLines w:val="0"/>
        <w:pageBreakBefore w:val="0"/>
        <w:widowControl w:val="0"/>
        <w:kinsoku/>
        <w:wordWrap/>
        <w:overflowPunct/>
        <w:autoSpaceDE/>
        <w:autoSpaceDN/>
        <w:bidi w:val="0"/>
        <w:spacing w:line="560" w:lineRule="exact"/>
        <w:ind w:firstLine="642" w:firstLineChars="200"/>
        <w:textAlignment w:val="auto"/>
        <w:rPr>
          <w:rFonts w:hint="default" w:ascii="楷体_GB2312" w:hAnsi="楷体_GB2312" w:eastAsia="楷体_GB2312" w:cs="楷体_GB2312"/>
          <w:b/>
          <w:bCs/>
          <w:kern w:val="2"/>
          <w:sz w:val="32"/>
          <w:szCs w:val="32"/>
          <w:lang w:val="en-US" w:eastAsia="zh-CN" w:bidi="ar-SA"/>
        </w:rPr>
      </w:pPr>
      <w:r>
        <w:rPr>
          <w:rFonts w:hint="eastAsia" w:ascii="楷体_GB2312" w:hAnsi="楷体_GB2312" w:eastAsia="楷体_GB2312" w:cs="楷体_GB2312"/>
          <w:b/>
          <w:bCs/>
          <w:kern w:val="2"/>
          <w:sz w:val="32"/>
          <w:szCs w:val="32"/>
          <w:lang w:val="en-US" w:eastAsia="zh-CN" w:bidi="ar-SA"/>
        </w:rPr>
        <w:t>（十）事故发生位置有关情况</w:t>
      </w:r>
    </w:p>
    <w:p>
      <w:pPr>
        <w:pStyle w:val="17"/>
        <w:keepNext w:val="0"/>
        <w:keepLines w:val="0"/>
        <w:pageBreakBefore w:val="0"/>
        <w:widowControl w:val="0"/>
        <w:kinsoku/>
        <w:wordWrap/>
        <w:overflowPunct/>
        <w:autoSpaceDE/>
        <w:autoSpaceDN/>
        <w:bidi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事故发生位置原为吴桥养殖场荷花池，</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群白线山湖分支线路从上方穿过</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2024</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年</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月</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7</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日，吴桥养殖场将土地平整项目发包给伍陆柒公司，要求平整完成后的土地与花山大道路基平齐。</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2024</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年</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3</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月，伍陆柒公司按照合同要求对该荷花池进行回填平整，因池塘上方架设有高压线路，遂只对</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群白线山湖分支</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6</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杆往</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7</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杆方向右侧全部和</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6</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7</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杆</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中间至</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7</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杆左侧部分进行回填，使得高压线路下方形成一条沟渠。后受周边堆土及降水影响，高压线路垂直下方两侧部分土堆受潮挤压滑落，导致沟渠底部高度不断上升，造成</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高压线路最低位置离地距离不足</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p>
    <w:p>
      <w:pPr>
        <w:pStyle w:val="9"/>
        <w:keepNext w:val="0"/>
        <w:keepLines w:val="0"/>
        <w:pageBreakBefore w:val="0"/>
        <w:widowControl w:val="0"/>
        <w:kinsoku/>
        <w:wordWrap/>
        <w:overflowPunct/>
        <w:autoSpaceDE/>
        <w:autoSpaceDN/>
        <w:bidi w:val="0"/>
        <w:spacing w:line="560" w:lineRule="exact"/>
        <w:ind w:left="0" w:leftChars="0" w:firstLine="642" w:firstLineChars="200"/>
        <w:textAlignment w:val="auto"/>
        <w:outlineLvl w:val="1"/>
        <w:rPr>
          <w:rFonts w:hint="eastAsia" w:ascii="楷体_GB2312" w:hAnsi="楷体_GB2312" w:eastAsia="楷体_GB2312" w:cs="楷体_GB2312"/>
          <w:b/>
          <w:bCs/>
          <w:kern w:val="2"/>
          <w:sz w:val="32"/>
          <w:szCs w:val="32"/>
          <w:lang w:val="en-US" w:eastAsia="zh-CN" w:bidi="ar-SA"/>
        </w:rPr>
      </w:pPr>
      <w:bookmarkStart w:id="21" w:name="_Toc29722"/>
      <w:r>
        <w:rPr>
          <w:rFonts w:hint="eastAsia" w:ascii="楷体_GB2312" w:hAnsi="楷体_GB2312" w:eastAsia="楷体_GB2312" w:cs="楷体_GB2312"/>
          <w:b/>
          <w:bCs/>
          <w:kern w:val="2"/>
          <w:sz w:val="32"/>
          <w:szCs w:val="32"/>
          <w:lang w:val="en-US" w:eastAsia="zh-CN" w:bidi="ar-SA"/>
        </w:rPr>
        <w:t>（十一）其他情况</w:t>
      </w:r>
      <w:bookmarkEnd w:id="2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000000" w:themeColor="text1"/>
          <w:kern w:val="2"/>
          <w:sz w:val="32"/>
          <w:szCs w:val="32"/>
          <w:highlight w:val="none"/>
          <w:u w:val="none" w:color="auto"/>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1.</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2023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年</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月，</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联通武汉公司（乙一方）和景网公司（乙二方）联合中标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武汉市公安局青山区分局（钢城分局）青山区城市视频监控运维项目。乙二方负责前端设备运维服务和外场部分监控摄像机镜头替换及杆位维护及部分前端摄像头的替换。</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2024</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年因合同到期，因交接过程中出现较多遗留故障点，</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景网公司</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受联通武汉公司所托，帮助处理部分城市视频监控电缆线路故障。</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5</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月</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7</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日，</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景网公司按照</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联通武汉公司通知要求，与信德公司现场就无电故障点进行交</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接并签署《交接</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确认单》（信德网络公司王齐兵要求李某签署），其中移交点位包含事故发生位置区域点位，移交单位为景网公司，接收单位为联通武汉公司。</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5</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月</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8</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日，</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景网公司按照之前同</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联通信武汉公司的约定，对花山大道区域城市视频监控电缆线路故障点进行处理，期间使用约</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100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m</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左右电线（因无法架空而沿地敷设，未做埋地或套管处理）</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群白线山湖分支</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6</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杆</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7</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#杆间电缆线路断开部分重新连接</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5</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月</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9</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日，景网公司通过微信将</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《交接</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确认单》发给联通武汉公司。</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后续</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城市视频监控运维项目供电配套服务由</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联通武汉公司负责。</w:t>
      </w:r>
    </w:p>
    <w:p>
      <w:pPr>
        <w:pStyle w:val="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pPr>
      <w:bookmarkStart w:id="22" w:name="_Toc22389"/>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2.</w:t>
      </w:r>
      <w:r>
        <w:rPr>
          <w:rFonts w:hint="eastAsia" w:ascii="宋体" w:hAnsi="宋体" w:eastAsia="宋体" w:cs="宋体"/>
          <w:color w:val="000000" w:themeColor="text1"/>
          <w:kern w:val="2"/>
          <w:sz w:val="32"/>
          <w:szCs w:val="32"/>
          <w:u w:val="none"/>
          <w:lang w:val="en-US" w:eastAsia="zh-CN" w:bidi="ar-SA"/>
          <w14:textFill>
            <w14:solidFill>
              <w14:schemeClr w14:val="tx1"/>
            </w14:solidFill>
          </w14:textFill>
        </w:rPr>
        <w:t>2024</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年</w:t>
      </w:r>
      <w:r>
        <w:rPr>
          <w:rFonts w:hint="eastAsia" w:ascii="宋体" w:hAnsi="宋体" w:eastAsia="宋体" w:cs="宋体"/>
          <w:color w:val="000000" w:themeColor="text1"/>
          <w:kern w:val="2"/>
          <w:sz w:val="32"/>
          <w:szCs w:val="32"/>
          <w:u w:val="none"/>
          <w:lang w:val="en-US" w:eastAsia="zh-CN" w:bidi="ar-SA"/>
          <w14:textFill>
            <w14:solidFill>
              <w14:schemeClr w14:val="tx1"/>
            </w14:solidFill>
          </w14:textFill>
        </w:rPr>
        <w:t>4</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月</w:t>
      </w:r>
      <w:r>
        <w:rPr>
          <w:rFonts w:hint="eastAsia" w:ascii="宋体" w:hAnsi="宋体" w:eastAsia="宋体" w:cs="宋体"/>
          <w:color w:val="000000" w:themeColor="text1"/>
          <w:kern w:val="2"/>
          <w:sz w:val="32"/>
          <w:szCs w:val="32"/>
          <w:u w:val="none"/>
          <w:lang w:val="en-US" w:eastAsia="zh-CN" w:bidi="ar-SA"/>
          <w14:textFill>
            <w14:solidFill>
              <w14:schemeClr w14:val="tx1"/>
            </w14:solidFill>
          </w14:textFill>
        </w:rPr>
        <w:t>8</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日，土地平整项目停止进土回填施工。</w:t>
      </w:r>
      <w:r>
        <w:rPr>
          <w:rFonts w:hint="eastAsia" w:ascii="宋体" w:hAnsi="宋体" w:eastAsia="宋体" w:cs="宋体"/>
          <w:color w:val="000000" w:themeColor="text1"/>
          <w:kern w:val="2"/>
          <w:sz w:val="32"/>
          <w:szCs w:val="32"/>
          <w:u w:val="none"/>
          <w:lang w:val="en-US" w:eastAsia="zh-CN" w:bidi="ar-SA"/>
          <w14:textFill>
            <w14:solidFill>
              <w14:schemeClr w14:val="tx1"/>
            </w14:solidFill>
          </w14:textFill>
        </w:rPr>
        <w:t>21</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日，伍陆柒公司返回现场降低堆土高度后，项目正式完工。</w:t>
      </w:r>
      <w:bookmarkEnd w:id="2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联通湖北产互公司下设</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武汉办事处，办事处与联通武汉公司为同一套人员班子，统一进行管理。</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2023</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年，联通武汉公司将除化工片区</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期城市视频监控运维服务之外的项目内部转签给</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联通湖北产互公司</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，属于公司内部业务交接。</w:t>
      </w:r>
    </w:p>
    <w:p>
      <w:pPr>
        <w:pStyle w:val="7"/>
        <w:keepNext w:val="0"/>
        <w:keepLines w:val="0"/>
        <w:pageBreakBefore w:val="0"/>
        <w:widowControl w:val="0"/>
        <w:kinsoku/>
        <w:wordWrap/>
        <w:overflowPunct/>
        <w:autoSpaceDE/>
        <w:autoSpaceDN/>
        <w:bidi w:val="0"/>
        <w:spacing w:line="560" w:lineRule="exact"/>
        <w:ind w:firstLine="640" w:firstLineChars="200"/>
        <w:textAlignment w:val="auto"/>
        <w:outlineLvl w:val="0"/>
        <w:rPr>
          <w:rFonts w:hint="eastAsia" w:ascii="黑体" w:hAnsi="黑体" w:eastAsia="黑体" w:cs="黑体"/>
          <w:sz w:val="32"/>
          <w:szCs w:val="32"/>
          <w:lang w:val="en-US" w:eastAsia="zh-CN"/>
        </w:rPr>
      </w:pPr>
      <w:bookmarkStart w:id="23" w:name="_Toc18029"/>
      <w:r>
        <w:rPr>
          <w:rFonts w:hint="eastAsia" w:ascii="黑体" w:hAnsi="黑体" w:eastAsia="黑体" w:cs="黑体"/>
          <w:sz w:val="32"/>
          <w:szCs w:val="32"/>
          <w:lang w:val="en-US" w:eastAsia="zh-CN"/>
        </w:rPr>
        <w:t>二、事故应急处置及评估情况</w:t>
      </w:r>
      <w:bookmarkEnd w:id="23"/>
    </w:p>
    <w:p>
      <w:pPr>
        <w:pStyle w:val="9"/>
        <w:keepNext w:val="0"/>
        <w:keepLines w:val="0"/>
        <w:pageBreakBefore w:val="0"/>
        <w:widowControl w:val="0"/>
        <w:kinsoku/>
        <w:wordWrap/>
        <w:overflowPunct/>
        <w:autoSpaceDE/>
        <w:autoSpaceDN/>
        <w:bidi w:val="0"/>
        <w:spacing w:line="560" w:lineRule="exact"/>
        <w:ind w:left="0" w:leftChars="0" w:firstLine="642" w:firstLineChars="200"/>
        <w:textAlignment w:val="auto"/>
        <w:outlineLvl w:val="1"/>
        <w:rPr>
          <w:rFonts w:hint="eastAsia" w:ascii="楷体_GB2312" w:hAnsi="楷体_GB2312" w:eastAsia="楷体_GB2312" w:cs="楷体_GB2312"/>
          <w:b/>
          <w:bCs/>
          <w:sz w:val="32"/>
          <w:szCs w:val="32"/>
          <w:lang w:val="en-US" w:eastAsia="zh-CN"/>
        </w:rPr>
      </w:pPr>
      <w:bookmarkStart w:id="24" w:name="_Toc13402"/>
      <w:r>
        <w:rPr>
          <w:rFonts w:hint="eastAsia" w:ascii="楷体_GB2312" w:hAnsi="楷体_GB2312" w:eastAsia="楷体_GB2312" w:cs="楷体_GB2312"/>
          <w:b/>
          <w:bCs/>
          <w:sz w:val="32"/>
          <w:szCs w:val="32"/>
          <w:lang w:val="en-US" w:eastAsia="zh-CN"/>
        </w:rPr>
        <w:t>（一）事故信息接报及响应情况</w:t>
      </w:r>
      <w:bookmarkEnd w:id="24"/>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宋体" w:hAnsi="宋体" w:eastAsia="宋体" w:cs="宋体"/>
          <w:color w:val="000000" w:themeColor="text1"/>
          <w:sz w:val="32"/>
          <w:szCs w:val="32"/>
          <w:lang w:val="en-US" w:eastAsia="zh-CN"/>
          <w14:textFill>
            <w14:solidFill>
              <w14:schemeClr w14:val="tx1"/>
            </w14:solidFill>
          </w14:textFill>
        </w:rPr>
        <w:t>9</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时</w:t>
      </w:r>
      <w:r>
        <w:rPr>
          <w:rFonts w:hint="eastAsia" w:ascii="宋体" w:hAnsi="宋体" w:eastAsia="宋体" w:cs="宋体"/>
          <w:color w:val="000000" w:themeColor="text1"/>
          <w:sz w:val="32"/>
          <w:szCs w:val="32"/>
          <w:lang w:val="en-US" w:eastAsia="zh-CN"/>
          <w14:textFill>
            <w14:solidFill>
              <w14:schemeClr w14:val="tx1"/>
            </w14:solidFill>
          </w14:textFill>
        </w:rPr>
        <w:t>26</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分许，罗某拨打</w:t>
      </w:r>
      <w:r>
        <w:rPr>
          <w:rFonts w:hint="eastAsia" w:ascii="宋体" w:hAnsi="宋体" w:eastAsia="宋体" w:cs="宋体"/>
          <w:color w:val="000000" w:themeColor="text1"/>
          <w:sz w:val="32"/>
          <w:szCs w:val="32"/>
          <w:lang w:val="en-US" w:eastAsia="zh-CN"/>
          <w14:textFill>
            <w14:solidFill>
              <w14:schemeClr w14:val="tx1"/>
            </w14:solidFill>
          </w14:textFill>
        </w:rPr>
        <w:t>120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急救电话和</w:t>
      </w:r>
      <w:r>
        <w:rPr>
          <w:rFonts w:hint="eastAsia" w:ascii="宋体" w:hAnsi="宋体" w:eastAsia="宋体" w:cs="宋体"/>
          <w:color w:val="000000" w:themeColor="text1"/>
          <w:sz w:val="32"/>
          <w:szCs w:val="32"/>
          <w:lang w:val="en-US" w:eastAsia="zh-CN"/>
          <w14:textFill>
            <w14:solidFill>
              <w14:schemeClr w14:val="tx1"/>
            </w14:solidFill>
          </w14:textFill>
        </w:rPr>
        <w:t>110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报警电话。</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9</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时</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32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分，八吉府街道办事处接通知后赶赴现场。</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9</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时</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37</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分，区应急管理局接报后赶往现场处置</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w:t>
      </w:r>
    </w:p>
    <w:p>
      <w:pPr>
        <w:pStyle w:val="9"/>
        <w:keepNext w:val="0"/>
        <w:keepLines w:val="0"/>
        <w:pageBreakBefore w:val="0"/>
        <w:widowControl w:val="0"/>
        <w:kinsoku/>
        <w:wordWrap/>
        <w:overflowPunct/>
        <w:autoSpaceDE/>
        <w:autoSpaceDN/>
        <w:bidi w:val="0"/>
        <w:spacing w:line="560" w:lineRule="exact"/>
        <w:ind w:left="0" w:leftChars="0" w:firstLine="642" w:firstLineChars="200"/>
        <w:textAlignment w:val="auto"/>
        <w:outlineLvl w:val="1"/>
        <w:rPr>
          <w:rFonts w:hint="eastAsia" w:ascii="楷体_GB2312" w:hAnsi="楷体_GB2312" w:eastAsia="楷体_GB2312" w:cs="楷体_GB2312"/>
          <w:b/>
          <w:bCs/>
          <w:sz w:val="32"/>
          <w:szCs w:val="32"/>
          <w:lang w:val="en-US" w:eastAsia="zh-CN"/>
        </w:rPr>
      </w:pPr>
      <w:bookmarkStart w:id="25" w:name="_Toc26690"/>
      <w:r>
        <w:rPr>
          <w:rFonts w:hint="eastAsia" w:ascii="楷体_GB2312" w:hAnsi="楷体_GB2312" w:eastAsia="楷体_GB2312" w:cs="楷体_GB2312"/>
          <w:b/>
          <w:bCs/>
          <w:sz w:val="32"/>
          <w:szCs w:val="32"/>
          <w:lang w:val="en-US" w:eastAsia="zh-CN"/>
        </w:rPr>
        <w:t>（二）事故现场应急处置情况</w:t>
      </w:r>
      <w:bookmarkEnd w:id="25"/>
    </w:p>
    <w:p>
      <w:pPr>
        <w:keepNext w:val="0"/>
        <w:keepLines w:val="0"/>
        <w:pageBreakBefore w:val="0"/>
        <w:widowControl w:val="0"/>
        <w:kinsoku/>
        <w:wordWrap/>
        <w:overflowPunct/>
        <w:autoSpaceDE/>
        <w:autoSpaceDN/>
        <w:bidi w:val="0"/>
        <w:spacing w:line="560" w:lineRule="exact"/>
        <w:ind w:firstLine="640" w:firstLineChars="200"/>
        <w:textAlignment w:val="auto"/>
        <w:outlineLvl w:val="1"/>
        <w:rPr>
          <w:rFonts w:hint="default" w:ascii="仿宋_GB2312" w:hAnsi="仿宋_GB2312" w:eastAsia="仿宋_GB2312" w:cs="仿宋_GB2312"/>
          <w:color w:val="000000" w:themeColor="text1"/>
          <w:sz w:val="32"/>
          <w:szCs w:val="32"/>
          <w:lang w:val="en-US" w:eastAsia="zh-CN"/>
          <w14:textFill>
            <w14:solidFill>
              <w14:schemeClr w14:val="tx1"/>
            </w14:solidFill>
          </w14:textFill>
        </w:rPr>
      </w:pPr>
      <w:bookmarkStart w:id="26" w:name="_Toc2287"/>
      <w:bookmarkStart w:id="27" w:name="_Toc22349"/>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罗某发现李某俯卧在群白线山湖分支</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6</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杆、</w:t>
      </w:r>
      <w:r>
        <w:rPr>
          <w:rFonts w:hint="eastAsia" w:ascii="宋体" w:hAnsi="宋体" w:eastAsia="宋体" w:cs="宋体"/>
          <w:color w:val="000000" w:themeColor="text1"/>
          <w:sz w:val="32"/>
          <w:szCs w:val="32"/>
          <w:lang w:val="en-US" w:eastAsia="zh-CN"/>
          <w14:textFill>
            <w14:solidFill>
              <w14:schemeClr w14:val="tx1"/>
            </w14:solidFill>
          </w14:textFill>
        </w:rPr>
        <w:t>7</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杆之间，随即将其翻身成仰卧状态并进行人工呼吸和心肺复苏。见李某无反应，罗某立即拨打</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120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急救电话和</w:t>
      </w:r>
      <w:r>
        <w:rPr>
          <w:rFonts w:hint="eastAsia" w:ascii="宋体" w:hAnsi="宋体" w:eastAsia="宋体" w:cs="宋体"/>
          <w:color w:val="000000" w:themeColor="text1"/>
          <w:sz w:val="32"/>
          <w:szCs w:val="32"/>
          <w:lang w:val="en-US" w:eastAsia="zh-CN"/>
          <w14:textFill>
            <w14:solidFill>
              <w14:schemeClr w14:val="tx1"/>
            </w14:solidFill>
          </w14:textFill>
        </w:rPr>
        <w:t>110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报警电话。救护车到场后，</w:t>
      </w:r>
      <w:r>
        <w:rPr>
          <w:rFonts w:hint="eastAsia" w:ascii="仿宋_GB2312" w:hAnsi="仿宋_GB2312" w:eastAsia="仿宋_GB2312" w:cs="仿宋_GB2312"/>
          <w:color w:val="auto"/>
          <w:sz w:val="32"/>
          <w:szCs w:val="32"/>
        </w:rPr>
        <w:t>经检查，</w:t>
      </w:r>
      <w:r>
        <w:rPr>
          <w:rFonts w:hint="eastAsia" w:ascii="仿宋_GB2312" w:hAnsi="仿宋_GB2312" w:eastAsia="仿宋_GB2312" w:cs="仿宋_GB2312"/>
          <w:color w:val="auto"/>
          <w:sz w:val="32"/>
          <w:szCs w:val="32"/>
          <w:lang w:val="en-US" w:eastAsia="zh-CN"/>
        </w:rPr>
        <w:t>李某</w:t>
      </w:r>
      <w:r>
        <w:rPr>
          <w:rFonts w:hint="eastAsia" w:ascii="仿宋_GB2312" w:hAnsi="仿宋_GB2312" w:eastAsia="仿宋_GB2312" w:cs="仿宋_GB2312"/>
          <w:color w:val="auto"/>
          <w:sz w:val="32"/>
          <w:szCs w:val="32"/>
        </w:rPr>
        <w:t>已无生命体征。</w:t>
      </w:r>
      <w:bookmarkEnd w:id="26"/>
    </w:p>
    <w:bookmarkEnd w:id="27"/>
    <w:p>
      <w:pPr>
        <w:pStyle w:val="9"/>
        <w:keepNext w:val="0"/>
        <w:keepLines w:val="0"/>
        <w:pageBreakBefore w:val="0"/>
        <w:widowControl w:val="0"/>
        <w:kinsoku/>
        <w:wordWrap/>
        <w:overflowPunct/>
        <w:autoSpaceDE/>
        <w:autoSpaceDN/>
        <w:bidi w:val="0"/>
        <w:spacing w:line="560" w:lineRule="exact"/>
        <w:ind w:left="0" w:leftChars="0" w:firstLine="642" w:firstLineChars="200"/>
        <w:textAlignment w:val="auto"/>
        <w:outlineLvl w:val="1"/>
        <w:rPr>
          <w:rFonts w:hint="eastAsia" w:ascii="楷体_GB2312" w:hAnsi="楷体_GB2312" w:eastAsia="楷体_GB2312" w:cs="楷体_GB2312"/>
          <w:b/>
          <w:bCs/>
          <w:sz w:val="32"/>
          <w:szCs w:val="32"/>
          <w:lang w:val="en-US" w:eastAsia="zh-CN"/>
        </w:rPr>
      </w:pPr>
      <w:bookmarkStart w:id="28" w:name="_Toc4458"/>
      <w:r>
        <w:rPr>
          <w:rFonts w:hint="eastAsia" w:ascii="楷体_GB2312" w:hAnsi="楷体_GB2312" w:eastAsia="楷体_GB2312" w:cs="楷体_GB2312"/>
          <w:b/>
          <w:bCs/>
          <w:sz w:val="32"/>
          <w:szCs w:val="32"/>
          <w:lang w:val="en-US" w:eastAsia="zh-CN"/>
        </w:rPr>
        <w:t>（三）事故应急处置评估</w:t>
      </w:r>
      <w:bookmarkEnd w:id="28"/>
    </w:p>
    <w:p>
      <w:pPr>
        <w:keepNext w:val="0"/>
        <w:keepLines w:val="0"/>
        <w:pageBreakBefore w:val="0"/>
        <w:widowControl w:val="0"/>
        <w:kinsoku/>
        <w:wordWrap/>
        <w:overflowPunct/>
        <w:autoSpaceDE/>
        <w:autoSpaceDN/>
        <w:bidi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经事故调查组对事故应急处置复盘评估认为，事故发生后</w:t>
      </w:r>
      <w:r>
        <w:rPr>
          <w:rFonts w:hint="eastAsia" w:ascii="宋体" w:hAnsi="宋体" w:eastAsia="宋体" w:cs="宋体"/>
          <w:color w:val="000000" w:themeColor="text1"/>
          <w:sz w:val="32"/>
          <w:szCs w:val="32"/>
          <w:lang w:val="en-US" w:eastAsia="zh-CN"/>
          <w14:textFill>
            <w14:solidFill>
              <w14:schemeClr w14:val="tx1"/>
            </w14:solidFill>
          </w14:textFill>
        </w:rPr>
        <w:t>120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急救中心、区公安分局、区应急管理局、八吉府街道办事处等单位迅速组织人员赶赴现场处置，响应及时，分工明确，措施得当，处置稳妥，对相关信息报送及时准确。</w:t>
      </w:r>
    </w:p>
    <w:p>
      <w:pPr>
        <w:pStyle w:val="7"/>
        <w:keepNext w:val="0"/>
        <w:keepLines w:val="0"/>
        <w:pageBreakBefore w:val="0"/>
        <w:widowControl w:val="0"/>
        <w:kinsoku/>
        <w:wordWrap/>
        <w:overflowPunct/>
        <w:autoSpaceDE/>
        <w:autoSpaceDN/>
        <w:bidi w:val="0"/>
        <w:spacing w:line="560" w:lineRule="exact"/>
        <w:ind w:firstLine="640" w:firstLineChars="200"/>
        <w:textAlignment w:val="auto"/>
        <w:outlineLvl w:val="0"/>
        <w:rPr>
          <w:rFonts w:hint="default" w:ascii="黑体" w:hAnsi="黑体" w:eastAsia="黑体" w:cs="黑体"/>
          <w:sz w:val="32"/>
          <w:szCs w:val="32"/>
          <w:lang w:val="en-US" w:eastAsia="zh-CN"/>
        </w:rPr>
      </w:pPr>
      <w:bookmarkStart w:id="29" w:name="_Toc6495"/>
      <w:r>
        <w:rPr>
          <w:rFonts w:hint="eastAsia" w:ascii="黑体" w:hAnsi="黑体" w:eastAsia="黑体" w:cs="黑体"/>
          <w:sz w:val="32"/>
          <w:szCs w:val="32"/>
          <w:lang w:val="en-US" w:eastAsia="zh-CN"/>
        </w:rPr>
        <w:t>三、事故原因分析</w:t>
      </w:r>
      <w:bookmarkEnd w:id="29"/>
    </w:p>
    <w:p>
      <w:pPr>
        <w:pStyle w:val="9"/>
        <w:keepNext w:val="0"/>
        <w:keepLines w:val="0"/>
        <w:pageBreakBefore w:val="0"/>
        <w:widowControl w:val="0"/>
        <w:kinsoku/>
        <w:wordWrap/>
        <w:overflowPunct/>
        <w:autoSpaceDE/>
        <w:autoSpaceDN/>
        <w:bidi w:val="0"/>
        <w:spacing w:line="560" w:lineRule="exact"/>
        <w:ind w:left="0" w:leftChars="0" w:firstLine="642" w:firstLineChars="200"/>
        <w:textAlignment w:val="auto"/>
        <w:outlineLvl w:val="1"/>
        <w:rPr>
          <w:rFonts w:hint="eastAsia" w:ascii="楷体_GB2312" w:hAnsi="楷体_GB2312" w:eastAsia="楷体_GB2312" w:cs="楷体_GB2312"/>
          <w:b/>
          <w:bCs/>
          <w:sz w:val="32"/>
          <w:szCs w:val="32"/>
          <w:lang w:val="en-US" w:eastAsia="zh-CN"/>
        </w:rPr>
      </w:pPr>
      <w:bookmarkStart w:id="30" w:name="_Toc14978"/>
      <w:r>
        <w:rPr>
          <w:rFonts w:hint="eastAsia" w:ascii="楷体_GB2312" w:hAnsi="楷体_GB2312" w:eastAsia="楷体_GB2312" w:cs="楷体_GB2312"/>
          <w:b/>
          <w:bCs/>
          <w:sz w:val="32"/>
          <w:szCs w:val="32"/>
          <w:lang w:val="en-US" w:eastAsia="zh-CN"/>
        </w:rPr>
        <w:t>（一）直接原因分析</w:t>
      </w:r>
      <w:bookmarkEnd w:id="30"/>
    </w:p>
    <w:p>
      <w:pPr>
        <w:keepNext w:val="0"/>
        <w:keepLines w:val="0"/>
        <w:pageBreakBefore w:val="0"/>
        <w:widowControl w:val="0"/>
        <w:kinsoku/>
        <w:wordWrap/>
        <w:overflowPunct/>
        <w:autoSpaceDE/>
        <w:autoSpaceDN/>
        <w:bidi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通过对事故现场进行勘察、对人员进行询问及调阅监控等，认定事故的直接原因是：李某安全意识淡薄，在明知城市视频监控项目花山大道区域电缆线路上方存在高压线触电风险情况下，未采取有效防范措施，被高压线路电击导致死亡。</w:t>
      </w:r>
    </w:p>
    <w:p>
      <w:pPr>
        <w:pStyle w:val="9"/>
        <w:keepNext w:val="0"/>
        <w:keepLines w:val="0"/>
        <w:pageBreakBefore w:val="0"/>
        <w:widowControl w:val="0"/>
        <w:kinsoku/>
        <w:wordWrap/>
        <w:overflowPunct/>
        <w:autoSpaceDE/>
        <w:autoSpaceDN/>
        <w:bidi w:val="0"/>
        <w:spacing w:line="560" w:lineRule="exact"/>
        <w:ind w:left="0" w:leftChars="0" w:firstLine="642" w:firstLineChars="200"/>
        <w:textAlignment w:val="auto"/>
        <w:outlineLvl w:val="1"/>
        <w:rPr>
          <w:rFonts w:hint="eastAsia" w:ascii="楷体_GB2312" w:hAnsi="楷体_GB2312" w:eastAsia="楷体_GB2312" w:cs="楷体_GB2312"/>
          <w:b/>
          <w:bCs/>
          <w:sz w:val="32"/>
          <w:szCs w:val="32"/>
          <w:lang w:val="en-US" w:eastAsia="zh-CN"/>
        </w:rPr>
      </w:pPr>
      <w:bookmarkStart w:id="31" w:name="_Toc5259"/>
      <w:r>
        <w:rPr>
          <w:rFonts w:hint="eastAsia" w:ascii="楷体_GB2312" w:hAnsi="楷体_GB2312" w:eastAsia="楷体_GB2312" w:cs="楷体_GB2312"/>
          <w:b/>
          <w:bCs/>
          <w:sz w:val="32"/>
          <w:szCs w:val="32"/>
          <w:lang w:val="en-US" w:eastAsia="zh-CN"/>
        </w:rPr>
        <w:t>（二）间接原因分析</w:t>
      </w:r>
      <w:bookmarkEnd w:id="31"/>
    </w:p>
    <w:p>
      <w:pPr>
        <w:keepNext w:val="0"/>
        <w:keepLines w:val="0"/>
        <w:pageBreakBefore w:val="0"/>
        <w:widowControl w:val="0"/>
        <w:kinsoku/>
        <w:wordWrap/>
        <w:overflowPunct/>
        <w:autoSpaceDE/>
        <w:autoSpaceDN/>
        <w:bidi w:val="0"/>
        <w:spacing w:line="560" w:lineRule="exact"/>
        <w:ind w:firstLine="64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信德网络公司</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安排</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不具备承修电力设施资质的单位实施通信线路的电力配套维护作业，安</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全检查和隐患排查治理不到位</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p>
    <w:p>
      <w:pPr>
        <w:keepNext w:val="0"/>
        <w:keepLines w:val="0"/>
        <w:pageBreakBefore w:val="0"/>
        <w:widowControl w:val="0"/>
        <w:kinsoku/>
        <w:wordWrap/>
        <w:overflowPunct/>
        <w:autoSpaceDE/>
        <w:autoSpaceDN/>
        <w:bidi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2.白浒供电公司作为群白线山湖分支权属方，</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未落实生产安全事故隐患排查治理制度，</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采取有效措施及时消除线路离地安全距离不足的隐患。</w:t>
      </w:r>
    </w:p>
    <w:p>
      <w:pPr>
        <w:keepNext w:val="0"/>
        <w:keepLines w:val="0"/>
        <w:pageBreakBefore w:val="0"/>
        <w:widowControl w:val="0"/>
        <w:kinsoku/>
        <w:wordWrap/>
        <w:overflowPunct/>
        <w:autoSpaceDE/>
        <w:autoSpaceDN/>
        <w:bidi w:val="0"/>
        <w:spacing w:line="560" w:lineRule="exact"/>
        <w:ind w:firstLine="64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3.吴桥养殖场作为事故发生位置土地权属方，组织对土地进行平整后造成群白线山湖分支</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6#</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杆</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、7</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#杆间高压线路离地安全距离不足，未采取有效措施及时消除。</w:t>
      </w:r>
    </w:p>
    <w:p>
      <w:pPr>
        <w:pStyle w:val="7"/>
        <w:keepNext w:val="0"/>
        <w:keepLines w:val="0"/>
        <w:pageBreakBefore w:val="0"/>
        <w:widowControl w:val="0"/>
        <w:kinsoku/>
        <w:wordWrap/>
        <w:overflowPunct/>
        <w:autoSpaceDE/>
        <w:autoSpaceDN/>
        <w:bidi w:val="0"/>
        <w:spacing w:line="560" w:lineRule="exact"/>
        <w:ind w:firstLine="640" w:firstLineChars="200"/>
        <w:textAlignment w:val="auto"/>
        <w:outlineLvl w:val="0"/>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bookmarkStart w:id="32" w:name="_Toc21706"/>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4.联通武汉公司对承接的城市视频监控运维项目花山大道区域</w:t>
      </w: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安全检查</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不到位。</w:t>
      </w:r>
      <w:bookmarkEnd w:id="32"/>
    </w:p>
    <w:p>
      <w:pPr>
        <w:keepNext w:val="0"/>
        <w:keepLines w:val="0"/>
        <w:pageBreakBefore w:val="0"/>
        <w:widowControl w:val="0"/>
        <w:kinsoku/>
        <w:wordWrap/>
        <w:overflowPunct/>
        <w:autoSpaceDE/>
        <w:autoSpaceDN/>
        <w:bidi w:val="0"/>
        <w:spacing w:line="560" w:lineRule="exact"/>
        <w:ind w:firstLine="64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5.杰世梦劳务公司在不</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具备承修电力设施资质的情况下实施通信线路的电力配套维护作业。</w:t>
      </w:r>
    </w:p>
    <w:p>
      <w:pPr>
        <w:pStyle w:val="7"/>
        <w:keepNext w:val="0"/>
        <w:keepLines w:val="0"/>
        <w:pageBreakBefore w:val="0"/>
        <w:widowControl w:val="0"/>
        <w:kinsoku/>
        <w:wordWrap/>
        <w:overflowPunct/>
        <w:autoSpaceDE/>
        <w:autoSpaceDN/>
        <w:bidi w:val="0"/>
        <w:spacing w:line="560" w:lineRule="exact"/>
        <w:ind w:firstLine="640" w:firstLineChars="200"/>
        <w:textAlignment w:val="auto"/>
        <w:outlineLvl w:val="0"/>
        <w:rPr>
          <w:rFonts w:hint="eastAsia" w:ascii="黑体" w:hAnsi="黑体" w:eastAsia="黑体" w:cs="黑体"/>
          <w:sz w:val="32"/>
          <w:szCs w:val="32"/>
          <w:lang w:val="en-US" w:eastAsia="zh-CN"/>
        </w:rPr>
      </w:pPr>
      <w:bookmarkStart w:id="33" w:name="_Toc21741"/>
      <w:r>
        <w:rPr>
          <w:rFonts w:hint="eastAsia" w:ascii="黑体" w:hAnsi="黑体" w:eastAsia="黑体" w:cs="黑体"/>
          <w:sz w:val="32"/>
          <w:szCs w:val="32"/>
          <w:lang w:val="en-US" w:eastAsia="zh-CN"/>
        </w:rPr>
        <w:t>四、有关责任单位存在的问题</w:t>
      </w:r>
      <w:bookmarkEnd w:id="33"/>
    </w:p>
    <w:p>
      <w:pPr>
        <w:pStyle w:val="9"/>
        <w:keepNext w:val="0"/>
        <w:keepLines w:val="0"/>
        <w:pageBreakBefore w:val="0"/>
        <w:widowControl w:val="0"/>
        <w:kinsoku/>
        <w:wordWrap/>
        <w:overflowPunct/>
        <w:autoSpaceDE/>
        <w:autoSpaceDN/>
        <w:bidi w:val="0"/>
        <w:spacing w:line="560" w:lineRule="exact"/>
        <w:ind w:firstLine="321" w:firstLineChars="100"/>
        <w:textAlignment w:val="auto"/>
        <w:outlineLvl w:val="1"/>
        <w:rPr>
          <w:rFonts w:hint="eastAsia" w:ascii="楷体_GB2312" w:hAnsi="楷体_GB2312" w:eastAsia="楷体_GB2312" w:cs="楷体_GB2312"/>
          <w:b/>
          <w:bCs/>
          <w:sz w:val="32"/>
          <w:szCs w:val="32"/>
          <w:lang w:val="en-US" w:eastAsia="zh-CN"/>
        </w:rPr>
      </w:pPr>
      <w:bookmarkStart w:id="34" w:name="_Toc19983"/>
      <w:r>
        <w:rPr>
          <w:rFonts w:hint="eastAsia" w:ascii="楷体_GB2312" w:hAnsi="楷体_GB2312" w:eastAsia="楷体_GB2312" w:cs="楷体_GB2312"/>
          <w:b/>
          <w:bCs/>
          <w:sz w:val="32"/>
          <w:szCs w:val="32"/>
          <w:lang w:val="en-US" w:eastAsia="zh-CN"/>
        </w:rPr>
        <w:t>（一）事故发生单位</w:t>
      </w:r>
      <w:bookmarkEnd w:id="34"/>
    </w:p>
    <w:p>
      <w:pPr>
        <w:keepNext w:val="0"/>
        <w:keepLines w:val="0"/>
        <w:pageBreakBefore w:val="0"/>
        <w:widowControl w:val="0"/>
        <w:kinsoku/>
        <w:wordWrap/>
        <w:overflowPunct/>
        <w:autoSpaceDE/>
        <w:autoSpaceDN/>
        <w:bidi w:val="0"/>
        <w:spacing w:line="560" w:lineRule="exact"/>
        <w:ind w:firstLine="642" w:firstLineChars="200"/>
        <w:textAlignment w:val="auto"/>
        <w:rPr>
          <w:rFonts w:hint="default" w:ascii="仿宋_GB2312" w:hAnsi="仿宋_GB2312" w:eastAsia="仿宋_GB2312" w:cs="仿宋_GB2312"/>
          <w:color w:val="000000" w:themeColor="text1"/>
          <w:kern w:val="2"/>
          <w:sz w:val="32"/>
          <w:szCs w:val="32"/>
          <w:highlight w:val="none"/>
          <w:u w:val="none" w:color="auto"/>
          <w:lang w:val="en-US" w:eastAsia="zh-CN" w:bidi="ar-SA"/>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1.信德网络公司。</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违法转包作业项目，安排不具备承修电力设施资质的单位实施通信线路的电力配套维护作业</w:t>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1"/>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auto"/>
          <w:sz w:val="32"/>
          <w:szCs w:val="32"/>
          <w:highlight w:val="none"/>
          <w:lang w:val="en-US" w:eastAsia="zh-CN"/>
        </w:rPr>
        <w:t>安全检查和隐患治理不到位</w:t>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2"/>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p>
    <w:p>
      <w:pPr>
        <w:keepNext w:val="0"/>
        <w:keepLines w:val="0"/>
        <w:pageBreakBefore w:val="0"/>
        <w:widowControl w:val="0"/>
        <w:kinsoku/>
        <w:wordWrap/>
        <w:overflowPunct/>
        <w:autoSpaceDE/>
        <w:autoSpaceDN/>
        <w:bidi w:val="0"/>
        <w:spacing w:line="560" w:lineRule="exact"/>
        <w:ind w:firstLine="642"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2.白浒供电公司。</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事故隐患治理不到位，</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未落实生产安全事故隐患排查治理制度</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，采取有效措施及时消除权属高压电线线路离地安全距离不足的隐患</w:t>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3"/>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p>
    <w:p>
      <w:pPr>
        <w:keepNext w:val="0"/>
        <w:keepLines w:val="0"/>
        <w:pageBreakBefore w:val="0"/>
        <w:widowControl w:val="0"/>
        <w:kinsoku/>
        <w:wordWrap/>
        <w:overflowPunct/>
        <w:autoSpaceDE/>
        <w:autoSpaceDN/>
        <w:bidi w:val="0"/>
        <w:spacing w:line="560" w:lineRule="exact"/>
        <w:ind w:firstLine="642"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3.吴桥养殖场。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事故隐患治理不到位，在组织对权属土地平整后，导致高压电线线路存在安全距离不足隐患，未采取有效措施及时消除</w:t>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4"/>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p>
    <w:p>
      <w:pPr>
        <w:pStyle w:val="9"/>
        <w:keepNext w:val="0"/>
        <w:keepLines w:val="0"/>
        <w:pageBreakBefore w:val="0"/>
        <w:widowControl w:val="0"/>
        <w:kinsoku/>
        <w:wordWrap/>
        <w:overflowPunct/>
        <w:autoSpaceDE/>
        <w:autoSpaceDN/>
        <w:bidi w:val="0"/>
        <w:spacing w:line="560" w:lineRule="exact"/>
        <w:ind w:firstLine="321" w:firstLineChars="100"/>
        <w:textAlignment w:val="auto"/>
        <w:outlineLvl w:val="1"/>
        <w:rPr>
          <w:rFonts w:hint="default" w:ascii="楷体_GB2312" w:hAnsi="楷体_GB2312" w:eastAsia="楷体_GB2312" w:cs="楷体_GB2312"/>
          <w:b/>
          <w:bCs/>
          <w:sz w:val="32"/>
          <w:szCs w:val="32"/>
          <w:lang w:val="en-US" w:eastAsia="zh-CN"/>
        </w:rPr>
      </w:pPr>
      <w:bookmarkStart w:id="35" w:name="_Toc373"/>
      <w:r>
        <w:rPr>
          <w:rFonts w:hint="eastAsia" w:ascii="楷体_GB2312" w:hAnsi="楷体_GB2312" w:eastAsia="楷体_GB2312" w:cs="楷体_GB2312"/>
          <w:b/>
          <w:bCs/>
          <w:sz w:val="32"/>
          <w:szCs w:val="32"/>
          <w:lang w:val="en-US" w:eastAsia="zh-CN"/>
        </w:rPr>
        <w:t>（二）事故有关单位</w:t>
      </w:r>
      <w:bookmarkEnd w:id="35"/>
    </w:p>
    <w:p>
      <w:pPr>
        <w:keepNext w:val="0"/>
        <w:keepLines w:val="0"/>
        <w:pageBreakBefore w:val="0"/>
        <w:widowControl w:val="0"/>
        <w:kinsoku/>
        <w:wordWrap/>
        <w:overflowPunct/>
        <w:autoSpaceDE/>
        <w:autoSpaceDN/>
        <w:bidi w:val="0"/>
        <w:spacing w:line="560" w:lineRule="exact"/>
        <w:ind w:firstLine="642" w:firstLineChars="200"/>
        <w:textAlignment w:val="auto"/>
        <w:outlineLvl w:val="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bookmarkStart w:id="36" w:name="_Toc10385"/>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联通武汉公司。</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未对承包单位的安</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全生产工作</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进行</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统一协调、管理，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对城市视频监控运维项目花山大道区域</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安全检查</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不到位</w:t>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5"/>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bookmarkEnd w:id="36"/>
    </w:p>
    <w:p>
      <w:pPr>
        <w:keepNext w:val="0"/>
        <w:keepLines w:val="0"/>
        <w:pageBreakBefore w:val="0"/>
        <w:widowControl w:val="0"/>
        <w:kinsoku/>
        <w:wordWrap/>
        <w:overflowPunct/>
        <w:autoSpaceDE/>
        <w:autoSpaceDN/>
        <w:bidi w:val="0"/>
        <w:spacing w:line="560" w:lineRule="exact"/>
        <w:ind w:firstLine="642" w:firstLineChars="200"/>
        <w:textAlignment w:val="auto"/>
        <w:outlineLvl w:val="0"/>
        <w:rPr>
          <w:rFonts w:hint="default" w:ascii="仿宋_GB2312" w:hAnsi="仿宋_GB2312" w:eastAsia="仿宋_GB2312" w:cs="仿宋_GB2312"/>
          <w:b/>
          <w:bCs/>
          <w:color w:val="000000" w:themeColor="text1"/>
          <w:sz w:val="32"/>
          <w:szCs w:val="32"/>
          <w:lang w:val="en-US" w:eastAsia="zh-CN"/>
          <w14:textFill>
            <w14:solidFill>
              <w14:schemeClr w14:val="tx1"/>
            </w14:solidFill>
          </w14:textFill>
        </w:rPr>
      </w:pPr>
      <w:bookmarkStart w:id="37" w:name="_Toc22085"/>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2.杰世梦劳务公司。</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在不</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具备承修电力设施资质的情况下实施通信线路的电力配套维护作业</w:t>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6"/>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bookmarkEnd w:id="37"/>
    </w:p>
    <w:p>
      <w:pPr>
        <w:pStyle w:val="7"/>
        <w:keepNext w:val="0"/>
        <w:keepLines w:val="0"/>
        <w:pageBreakBefore w:val="0"/>
        <w:widowControl w:val="0"/>
        <w:kinsoku/>
        <w:wordWrap/>
        <w:overflowPunct/>
        <w:autoSpaceDE/>
        <w:autoSpaceDN/>
        <w:bidi w:val="0"/>
        <w:spacing w:line="560" w:lineRule="exact"/>
        <w:ind w:firstLine="640" w:firstLineChars="200"/>
        <w:textAlignment w:val="auto"/>
        <w:outlineLvl w:val="0"/>
        <w:rPr>
          <w:rFonts w:hint="eastAsia" w:ascii="黑体" w:hAnsi="黑体" w:eastAsia="黑体" w:cs="黑体"/>
          <w:sz w:val="32"/>
          <w:szCs w:val="32"/>
          <w:lang w:val="en-US" w:eastAsia="zh-CN"/>
        </w:rPr>
      </w:pPr>
      <w:bookmarkStart w:id="38" w:name="_Toc28477"/>
      <w:r>
        <w:rPr>
          <w:rFonts w:hint="eastAsia" w:ascii="黑体" w:hAnsi="黑体" w:eastAsia="黑体" w:cs="黑体"/>
          <w:sz w:val="32"/>
          <w:szCs w:val="32"/>
          <w:lang w:val="en-US" w:eastAsia="zh-CN"/>
        </w:rPr>
        <w:t>五、对有关责任人员和责任单位的处理建议</w:t>
      </w:r>
      <w:bookmarkEnd w:id="38"/>
    </w:p>
    <w:p>
      <w:pPr>
        <w:pStyle w:val="9"/>
        <w:keepNext w:val="0"/>
        <w:keepLines w:val="0"/>
        <w:pageBreakBefore w:val="0"/>
        <w:widowControl w:val="0"/>
        <w:kinsoku/>
        <w:wordWrap/>
        <w:overflowPunct/>
        <w:autoSpaceDE/>
        <w:autoSpaceDN/>
        <w:bidi w:val="0"/>
        <w:spacing w:line="560" w:lineRule="exact"/>
        <w:ind w:left="0" w:leftChars="0" w:firstLine="642" w:firstLineChars="200"/>
        <w:textAlignment w:val="auto"/>
        <w:outlineLvl w:val="1"/>
        <w:rPr>
          <w:rFonts w:hint="default" w:ascii="楷体_GB2312" w:hAnsi="楷体_GB2312" w:eastAsia="楷体_GB2312" w:cs="楷体_GB2312"/>
          <w:b/>
          <w:bCs/>
          <w:sz w:val="32"/>
          <w:szCs w:val="32"/>
          <w:lang w:val="en-US" w:eastAsia="zh-CN"/>
        </w:rPr>
      </w:pPr>
      <w:bookmarkStart w:id="39" w:name="_Toc23688"/>
      <w:r>
        <w:rPr>
          <w:rFonts w:hint="eastAsia" w:ascii="楷体_GB2312" w:hAnsi="楷体_GB2312" w:eastAsia="楷体_GB2312" w:cs="楷体_GB2312"/>
          <w:b/>
          <w:bCs/>
          <w:sz w:val="32"/>
          <w:szCs w:val="32"/>
          <w:lang w:val="en-US" w:eastAsia="zh-CN"/>
        </w:rPr>
        <w:t>（一）因在事故中死亡免予追究责任人员</w:t>
      </w:r>
      <w:bookmarkEnd w:id="39"/>
    </w:p>
    <w:p>
      <w:pPr>
        <w:keepNext w:val="0"/>
        <w:keepLines w:val="0"/>
        <w:pageBreakBefore w:val="0"/>
        <w:widowControl w:val="0"/>
        <w:kinsoku/>
        <w:wordWrap/>
        <w:overflowPunct/>
        <w:autoSpaceDE/>
        <w:autoSpaceDN/>
        <w:bidi w:val="0"/>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李某安全意识淡薄，在明知存在触电风险情况下，未采取有效防范措施，被高压线路电击死亡，对事故负有责任，因在事故中死亡，根据法律规定，免予追究责任。</w:t>
      </w:r>
    </w:p>
    <w:p>
      <w:pPr>
        <w:pStyle w:val="9"/>
        <w:keepNext w:val="0"/>
        <w:keepLines w:val="0"/>
        <w:pageBreakBefore w:val="0"/>
        <w:widowControl w:val="0"/>
        <w:kinsoku/>
        <w:wordWrap/>
        <w:overflowPunct/>
        <w:autoSpaceDE/>
        <w:autoSpaceDN/>
        <w:bidi w:val="0"/>
        <w:spacing w:line="560" w:lineRule="exact"/>
        <w:ind w:left="0" w:leftChars="0" w:firstLine="642" w:firstLineChars="200"/>
        <w:textAlignment w:val="auto"/>
        <w:outlineLvl w:val="1"/>
        <w:rPr>
          <w:rFonts w:hint="eastAsia" w:ascii="楷体_GB2312" w:hAnsi="楷体_GB2312" w:eastAsia="楷体_GB2312" w:cs="楷体_GB2312"/>
          <w:b/>
          <w:bCs/>
          <w:sz w:val="32"/>
          <w:szCs w:val="32"/>
          <w:lang w:val="en-US" w:eastAsia="zh-CN"/>
        </w:rPr>
      </w:pPr>
      <w:bookmarkStart w:id="40" w:name="_Toc20676"/>
      <w:r>
        <w:rPr>
          <w:rFonts w:hint="eastAsia" w:ascii="楷体_GB2312" w:hAnsi="楷体_GB2312" w:eastAsia="楷体_GB2312" w:cs="楷体_GB2312"/>
          <w:b/>
          <w:bCs/>
          <w:sz w:val="32"/>
          <w:szCs w:val="32"/>
          <w:lang w:val="en-US" w:eastAsia="zh-CN"/>
        </w:rPr>
        <w:t>（二）对事故有关责任人员和责任单位的行政处罚建议</w:t>
      </w:r>
      <w:bookmarkEnd w:id="40"/>
    </w:p>
    <w:p>
      <w:pPr>
        <w:keepNext w:val="0"/>
        <w:keepLines w:val="0"/>
        <w:pageBreakBefore w:val="0"/>
        <w:widowControl w:val="0"/>
        <w:kinsoku/>
        <w:wordWrap/>
        <w:overflowPunct/>
        <w:autoSpaceDE/>
        <w:autoSpaceDN/>
        <w:bidi w:val="0"/>
        <w:spacing w:line="560" w:lineRule="exact"/>
        <w:ind w:firstLine="642"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1.信德网络公司。</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违法转包作业项目，安排不具备承修电力设施资质的单位实施通信线路的电力配套维护作业</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auto"/>
          <w:sz w:val="32"/>
          <w:szCs w:val="32"/>
          <w:lang w:val="en-US" w:eastAsia="zh-CN"/>
        </w:rPr>
        <w:t>安全检查和隐患治理不到位，</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对事故负有责任。</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违反《安全生产法》</w:t>
      </w:r>
      <w:r>
        <w:rPr>
          <w:rFonts w:hint="eastAsia" w:ascii="仿宋_GB2312" w:hAnsi="仿宋_GB2312" w:eastAsia="仿宋_GB2312" w:cs="仿宋_GB2312"/>
          <w:color w:val="000000" w:themeColor="text1"/>
          <w:kern w:val="2"/>
          <w:sz w:val="32"/>
          <w:szCs w:val="32"/>
          <w:highlight w:val="none"/>
          <w:u w:val="none" w:color="auto"/>
          <w:lang w:val="en-US" w:eastAsia="zh-CN" w:bidi="ar-SA"/>
          <w14:textFill>
            <w14:solidFill>
              <w14:schemeClr w14:val="tx1"/>
            </w14:solidFill>
          </w14:textFill>
        </w:rPr>
        <w:t>第四十九条第一款</w:t>
      </w:r>
      <w:r>
        <w:rPr>
          <w:rStyle w:val="16"/>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Style w:val="16"/>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footnoteReference w:id="7"/>
      </w:r>
      <w:r>
        <w:rPr>
          <w:rStyle w:val="16"/>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和</w:t>
      </w:r>
      <w:r>
        <w:rPr>
          <w:rFonts w:hint="eastAsia" w:ascii="仿宋_GB2312" w:hAnsi="仿宋_GB2312" w:eastAsia="仿宋_GB2312" w:cs="仿宋_GB2312"/>
          <w:color w:val="000000" w:themeColor="text1"/>
          <w:kern w:val="2"/>
          <w:sz w:val="32"/>
          <w:szCs w:val="32"/>
          <w:highlight w:val="none"/>
          <w:u w:val="none" w:color="auto"/>
          <w:lang w:val="en-US" w:eastAsia="zh-CN" w:bidi="ar-SA"/>
          <w14:textFill>
            <w14:solidFill>
              <w14:schemeClr w14:val="tx1"/>
            </w14:solidFill>
          </w14:textFill>
        </w:rPr>
        <w:t>第四十一条第二款</w:t>
      </w:r>
      <w:r>
        <w:rPr>
          <w:rStyle w:val="16"/>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Style w:val="16"/>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footnoteReference w:id="8"/>
      </w:r>
      <w:r>
        <w:rPr>
          <w:rStyle w:val="16"/>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规定，建议由区应急管理部门依照有关法律法规给予行政处罚。</w:t>
      </w:r>
    </w:p>
    <w:p>
      <w:pPr>
        <w:keepNext w:val="0"/>
        <w:keepLines w:val="0"/>
        <w:pageBreakBefore w:val="0"/>
        <w:widowControl w:val="0"/>
        <w:kinsoku/>
        <w:wordWrap/>
        <w:overflowPunct/>
        <w:autoSpaceDE/>
        <w:autoSpaceDN/>
        <w:bidi w:val="0"/>
        <w:spacing w:line="560" w:lineRule="exact"/>
        <w:ind w:firstLine="642" w:firstLineChars="200"/>
        <w:textAlignment w:val="auto"/>
        <w:rPr>
          <w:rFonts w:hint="eastAsia" w:ascii="仿宋" w:hAnsi="仿宋" w:eastAsia="仿宋" w:cs="仿宋"/>
          <w:sz w:val="32"/>
          <w:szCs w:val="32"/>
          <w:lang w:val="en-US" w:eastAsia="zh-CN"/>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2.蔺某涛。</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信德网络公司主要负责人，未依法履行安全生产管理职责。违反《安全生产法》第二十一</w:t>
      </w:r>
      <w:r>
        <w:rPr>
          <w:rFonts w:hint="eastAsia" w:ascii="仿宋_GB2312" w:hAnsi="仿宋" w:eastAsia="仿宋_GB2312" w:cs="楷体"/>
          <w:color w:val="auto"/>
          <w:sz w:val="32"/>
          <w:szCs w:val="32"/>
          <w:lang w:val="en-US" w:eastAsia="zh-CN"/>
        </w:rPr>
        <w:t>条第一款第五项</w:t>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9"/>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规定</w:t>
      </w:r>
      <w:r>
        <w:rPr>
          <w:rFonts w:hint="eastAsia" w:ascii="仿宋" w:hAnsi="仿宋" w:eastAsia="仿宋" w:cs="仿宋"/>
          <w:sz w:val="32"/>
          <w:szCs w:val="32"/>
          <w:lang w:val="en-US" w:eastAsia="zh-CN"/>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建议由区应急管理部门依照有关法律法规给予行政处罚。</w:t>
      </w:r>
    </w:p>
    <w:p>
      <w:pPr>
        <w:keepNext w:val="0"/>
        <w:keepLines w:val="0"/>
        <w:pageBreakBefore w:val="0"/>
        <w:widowControl w:val="0"/>
        <w:kinsoku/>
        <w:wordWrap/>
        <w:overflowPunct/>
        <w:autoSpaceDE/>
        <w:autoSpaceDN/>
        <w:bidi w:val="0"/>
        <w:spacing w:line="560" w:lineRule="exact"/>
        <w:ind w:firstLine="642"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3.白浒供</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电公司。</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事故隐患治理不到位，</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未落实生产安全事故隐患排查治理制度</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，采取有效措施及时消除权属高压电线线路离地安全距离不足的隐患</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对事故负有责任</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。违反《安全生产法》第四十一条第二款</w:t>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10"/>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规定，</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建议由区应急管理部门依照有关法律法规给予行政处罚。</w:t>
      </w:r>
    </w:p>
    <w:p>
      <w:pPr>
        <w:keepNext w:val="0"/>
        <w:keepLines w:val="0"/>
        <w:pageBreakBefore w:val="0"/>
        <w:widowControl w:val="0"/>
        <w:kinsoku/>
        <w:wordWrap/>
        <w:overflowPunct/>
        <w:autoSpaceDE/>
        <w:autoSpaceDN/>
        <w:bidi w:val="0"/>
        <w:spacing w:line="560" w:lineRule="exact"/>
        <w:ind w:firstLine="642" w:firstLineChars="200"/>
        <w:textAlignment w:val="auto"/>
        <w:rPr>
          <w:rFonts w:hint="eastAsia" w:ascii="仿宋" w:hAnsi="仿宋" w:eastAsia="仿宋" w:cs="仿宋"/>
          <w:sz w:val="32"/>
          <w:szCs w:val="32"/>
          <w:lang w:val="en-US" w:eastAsia="zh-CN"/>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4.雷某华。</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白浒供电公司主要负责人，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未依法履行安全生产管理职责。违反《安全生产法》第二十一</w:t>
      </w:r>
      <w:r>
        <w:rPr>
          <w:rFonts w:hint="eastAsia" w:ascii="仿宋_GB2312" w:hAnsi="仿宋" w:eastAsia="仿宋_GB2312" w:cs="楷体"/>
          <w:color w:val="auto"/>
          <w:sz w:val="32"/>
          <w:szCs w:val="32"/>
          <w:lang w:val="en-US" w:eastAsia="zh-CN"/>
        </w:rPr>
        <w:t>条第一款第五项</w:t>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11"/>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规定</w:t>
      </w:r>
      <w:r>
        <w:rPr>
          <w:rFonts w:hint="eastAsia" w:ascii="仿宋" w:hAnsi="仿宋" w:eastAsia="仿宋" w:cs="仿宋"/>
          <w:sz w:val="32"/>
          <w:szCs w:val="32"/>
          <w:lang w:val="en-US" w:eastAsia="zh-CN"/>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建议由区应急管理部门依照有关法律法规给予行政处罚。</w:t>
      </w:r>
    </w:p>
    <w:p>
      <w:pPr>
        <w:keepNext w:val="0"/>
        <w:keepLines w:val="0"/>
        <w:pageBreakBefore w:val="0"/>
        <w:widowControl w:val="0"/>
        <w:kinsoku/>
        <w:wordWrap/>
        <w:overflowPunct/>
        <w:autoSpaceDE/>
        <w:autoSpaceDN/>
        <w:bidi w:val="0"/>
        <w:spacing w:line="560" w:lineRule="exact"/>
        <w:ind w:firstLine="642"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5.吴桥养殖场</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事故隐患治理不到位，组织土地平整导致高压电线线路存在安全距离不足隐患后，未采取有效措施及时消除</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对事故负有责任</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。违反《安全生产法》第四十一条第二款</w:t>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12"/>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规定，</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建议由区应急管理部门依照有关法律法规给予行政处罚。</w:t>
      </w:r>
    </w:p>
    <w:p>
      <w:pPr>
        <w:keepNext w:val="0"/>
        <w:keepLines w:val="0"/>
        <w:pageBreakBefore w:val="0"/>
        <w:widowControl w:val="0"/>
        <w:kinsoku/>
        <w:wordWrap/>
        <w:overflowPunct/>
        <w:autoSpaceDE/>
        <w:autoSpaceDN/>
        <w:bidi w:val="0"/>
        <w:spacing w:line="560" w:lineRule="exact"/>
        <w:ind w:firstLine="642" w:firstLineChars="200"/>
        <w:textAlignment w:val="auto"/>
        <w:rPr>
          <w:rFonts w:hint="eastAsia" w:ascii="仿宋" w:hAnsi="仿宋" w:eastAsia="仿宋" w:cs="仿宋"/>
          <w:sz w:val="32"/>
          <w:szCs w:val="32"/>
          <w:lang w:val="en-US" w:eastAsia="zh-CN"/>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6.李某全。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吴桥养殖场主要负责人，未依法履行安全生产管理职责。违反《安全生产法》第二十一</w:t>
      </w:r>
      <w:r>
        <w:rPr>
          <w:rFonts w:hint="eastAsia" w:ascii="仿宋_GB2312" w:hAnsi="仿宋" w:eastAsia="仿宋_GB2312" w:cs="楷体"/>
          <w:color w:val="auto"/>
          <w:sz w:val="32"/>
          <w:szCs w:val="32"/>
          <w:lang w:val="en-US" w:eastAsia="zh-CN"/>
        </w:rPr>
        <w:t>条第一款第五项</w:t>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13"/>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规定</w:t>
      </w:r>
      <w:r>
        <w:rPr>
          <w:rFonts w:hint="eastAsia" w:ascii="仿宋" w:hAnsi="仿宋" w:eastAsia="仿宋" w:cs="仿宋"/>
          <w:sz w:val="32"/>
          <w:szCs w:val="32"/>
          <w:lang w:val="en-US" w:eastAsia="zh-CN"/>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建议由区应急管理部门依照有关法律法规给予行政处罚。</w:t>
      </w:r>
    </w:p>
    <w:p>
      <w:pPr>
        <w:keepNext w:val="0"/>
        <w:keepLines w:val="0"/>
        <w:pageBreakBefore w:val="0"/>
        <w:widowControl w:val="0"/>
        <w:kinsoku/>
        <w:wordWrap/>
        <w:overflowPunct/>
        <w:autoSpaceDE/>
        <w:autoSpaceDN/>
        <w:bidi w:val="0"/>
        <w:spacing w:line="560" w:lineRule="exact"/>
        <w:ind w:firstLine="642"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7.联通武汉公司。</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未对承包单位的安</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全生产工作</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进行</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统一协调、管理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。违反《安全生产法》第四十九条第二款</w:t>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14"/>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规定，建议由区应急管理部门依照有关法律法规给予行政处罚。</w:t>
      </w:r>
    </w:p>
    <w:p>
      <w:pPr>
        <w:keepNext w:val="0"/>
        <w:keepLines w:val="0"/>
        <w:pageBreakBefore w:val="0"/>
        <w:widowControl w:val="0"/>
        <w:kinsoku/>
        <w:wordWrap/>
        <w:overflowPunct/>
        <w:autoSpaceDE/>
        <w:autoSpaceDN/>
        <w:bidi w:val="0"/>
        <w:spacing w:line="560" w:lineRule="exact"/>
        <w:ind w:firstLine="642"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8.杰世梦劳务公司。</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在不</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具备承修电力设施资质的情况下实施通信线路的电力配套维护作业。违反《安全生产法》第二十条</w:t>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15"/>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的规定，因违法行为人李某死亡时，其行为主体已经消灭，再对其本人及实际控制的自然人独资公司进行行政处罚已无实际意义，且因杰世梦公司与死者李某之间人格混同</w:t>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16"/>
      </w:r>
      <w:r>
        <w:rPr>
          <w:rStyle w:val="16"/>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，建议免于对该公司的行政处罚。</w:t>
      </w:r>
    </w:p>
    <w:p>
      <w:pPr>
        <w:pStyle w:val="7"/>
        <w:keepNext w:val="0"/>
        <w:keepLines w:val="0"/>
        <w:pageBreakBefore w:val="0"/>
        <w:widowControl w:val="0"/>
        <w:kinsoku/>
        <w:wordWrap/>
        <w:overflowPunct/>
        <w:autoSpaceDE/>
        <w:autoSpaceDN/>
        <w:bidi w:val="0"/>
        <w:spacing w:line="560" w:lineRule="exact"/>
        <w:ind w:firstLine="640" w:firstLineChars="200"/>
        <w:textAlignment w:val="auto"/>
        <w:outlineLvl w:val="0"/>
        <w:rPr>
          <w:rFonts w:hint="default" w:ascii="黑体" w:hAnsi="黑体" w:eastAsia="黑体" w:cs="黑体"/>
          <w:sz w:val="32"/>
          <w:szCs w:val="32"/>
          <w:lang w:val="en-US" w:eastAsia="zh-CN"/>
        </w:rPr>
      </w:pPr>
      <w:bookmarkStart w:id="41" w:name="_Toc20908"/>
      <w:r>
        <w:rPr>
          <w:rFonts w:hint="eastAsia" w:ascii="黑体" w:hAnsi="黑体" w:eastAsia="黑体" w:cs="黑体"/>
          <w:sz w:val="32"/>
          <w:szCs w:val="32"/>
          <w:lang w:val="en-US" w:eastAsia="zh-CN"/>
        </w:rPr>
        <w:t>六、事故主要教训</w:t>
      </w:r>
      <w:bookmarkEnd w:id="41"/>
    </w:p>
    <w:p>
      <w:pPr>
        <w:keepNext w:val="0"/>
        <w:keepLines w:val="0"/>
        <w:pageBreakBefore w:val="0"/>
        <w:widowControl w:val="0"/>
        <w:kinsoku/>
        <w:wordWrap/>
        <w:overflowPunct/>
        <w:autoSpaceDE/>
        <w:autoSpaceDN/>
        <w:bidi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本起事故的发生暴露出部分生产经营单位未压实安全生产主体责任，安全风险分级管控和安全隐患排查治理不到位；从业人员安全意识淡薄，违法违规作业依然存在；对承包单位现场安全生产工作统一协调、管理还需进一步加强。</w:t>
      </w:r>
    </w:p>
    <w:p>
      <w:pPr>
        <w:pStyle w:val="7"/>
        <w:keepNext w:val="0"/>
        <w:keepLines w:val="0"/>
        <w:pageBreakBefore w:val="0"/>
        <w:widowControl w:val="0"/>
        <w:kinsoku/>
        <w:wordWrap/>
        <w:overflowPunct/>
        <w:autoSpaceDE/>
        <w:autoSpaceDN/>
        <w:bidi w:val="0"/>
        <w:spacing w:line="560" w:lineRule="exact"/>
        <w:ind w:firstLine="640" w:firstLineChars="200"/>
        <w:textAlignment w:val="auto"/>
        <w:outlineLvl w:val="0"/>
        <w:rPr>
          <w:rFonts w:hint="eastAsia" w:ascii="黑体" w:hAnsi="黑体" w:eastAsia="黑体" w:cs="黑体"/>
          <w:sz w:val="32"/>
          <w:szCs w:val="32"/>
          <w:lang w:val="en-US" w:eastAsia="zh-CN"/>
        </w:rPr>
      </w:pPr>
      <w:bookmarkStart w:id="42" w:name="_Toc16462"/>
      <w:r>
        <w:rPr>
          <w:rFonts w:hint="eastAsia" w:ascii="黑体" w:hAnsi="黑体" w:eastAsia="黑体" w:cs="黑体"/>
          <w:sz w:val="32"/>
          <w:szCs w:val="32"/>
          <w:lang w:val="en-US" w:eastAsia="zh-CN"/>
        </w:rPr>
        <w:t>七、事故整改和防范措施</w:t>
      </w:r>
      <w:bookmarkEnd w:id="42"/>
    </w:p>
    <w:p>
      <w:pPr>
        <w:keepNext w:val="0"/>
        <w:keepLines w:val="0"/>
        <w:pageBreakBefore w:val="0"/>
        <w:widowControl w:val="0"/>
        <w:kinsoku/>
        <w:wordWrap/>
        <w:overflowPunct/>
        <w:autoSpaceDE/>
        <w:autoSpaceDN/>
        <w:bidi w:val="0"/>
        <w:spacing w:line="560" w:lineRule="exact"/>
        <w:ind w:firstLine="642"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32"/>
          <w:lang w:val="en-US" w:eastAsia="zh-CN"/>
          <w14:textFill>
            <w14:solidFill>
              <w14:schemeClr w14:val="tx1"/>
            </w14:solidFill>
          </w14:textFill>
        </w:rPr>
        <w:t>（一）信德网络公司</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要深刻汲取事故教训，进一步完善安全风险辨识和隐患排查治理制度，采取安全技术或管理措施消除各项事故隐患；要加大安全检查力度，强化安全生产统一协调、管理，及时制止违法违规作业行为。</w:t>
      </w:r>
    </w:p>
    <w:p>
      <w:pPr>
        <w:keepNext w:val="0"/>
        <w:keepLines w:val="0"/>
        <w:pageBreakBefore w:val="0"/>
        <w:widowControl w:val="0"/>
        <w:kinsoku/>
        <w:wordWrap/>
        <w:overflowPunct/>
        <w:autoSpaceDE/>
        <w:autoSpaceDN/>
        <w:bidi w:val="0"/>
        <w:spacing w:line="560" w:lineRule="exact"/>
        <w:ind w:firstLine="642"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32"/>
          <w:lang w:val="en-US" w:eastAsia="zh-CN"/>
          <w14:textFill>
            <w14:solidFill>
              <w14:schemeClr w14:val="tx1"/>
            </w14:solidFill>
          </w14:textFill>
        </w:rPr>
        <w:t>（二）白浒供电公司</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要深刻汲取事故教训，</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严格落实</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安全事故隐患排查治理制度，</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强化安全巡查排查力度，</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防范化解电力安全风险，及时消除隐患问题，防止类似事故发生。</w:t>
      </w:r>
    </w:p>
    <w:p>
      <w:pPr>
        <w:keepNext w:val="0"/>
        <w:keepLines w:val="0"/>
        <w:pageBreakBefore w:val="0"/>
        <w:widowControl w:val="0"/>
        <w:kinsoku/>
        <w:wordWrap/>
        <w:overflowPunct/>
        <w:autoSpaceDE/>
        <w:autoSpaceDN/>
        <w:bidi w:val="0"/>
        <w:spacing w:line="560" w:lineRule="exact"/>
        <w:ind w:firstLine="642"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32"/>
          <w:lang w:val="en-US" w:eastAsia="zh-CN"/>
          <w14:textFill>
            <w14:solidFill>
              <w14:schemeClr w14:val="tx1"/>
            </w14:solidFill>
          </w14:textFill>
        </w:rPr>
        <w:t>（三）吴桥养殖场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要深刻汲取事故教训，加强权属场所安全管理，强化安全生产统一协调、管理，严格落实隐患治理措施，同时要加大日常巡查频次，防止无关人员进入实施作业。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32"/>
          <w:lang w:val="en-US" w:eastAsia="zh-CN"/>
          <w14:textFill>
            <w14:solidFill>
              <w14:schemeClr w14:val="tx1"/>
            </w14:solidFill>
          </w14:textFill>
        </w:rPr>
        <w:t>（四）联通武汉公司</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要深刻汲取事故教训，做好分包项目安全管理，定期开展安全检查，及</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时督促</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承包单位强化安全风险分析，从严从实落实管控措施。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32"/>
          <w:lang w:val="en-US" w:eastAsia="zh-CN"/>
          <w14:textFill>
            <w14:solidFill>
              <w14:schemeClr w14:val="tx1"/>
            </w14:solidFill>
          </w14:textFill>
        </w:rPr>
        <w:t>（五）杰世梦劳务公司</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要深刻汲取事故教训，树牢安全意识，强化安全教育培训，依法依规实施生产经营作业。</w:t>
      </w:r>
    </w:p>
    <w:sectPr>
      <w:footerReference r:id="rId4" w:type="default"/>
      <w:footnotePr>
        <w:numFmt w:val="decimal"/>
      </w:footnotePr>
      <w:pgSz w:w="11906" w:h="16838"/>
      <w:pgMar w:top="2098" w:right="1474" w:bottom="1984" w:left="158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CC"/>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Nimbus Roman No9 L">
    <w:panose1 w:val="00000000000000000000"/>
    <w:charset w:val="00"/>
    <w:family w:val="auto"/>
    <w:pitch w:val="default"/>
    <w:sig w:usb0="00000000" w:usb1="00000000" w:usb2="00000000" w:usb3="00000000" w:csb0="0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Helvetica">
    <w:altName w:val="仿宋_GB2312"/>
    <w:panose1 w:val="00000000000000000000"/>
    <w:charset w:val="00"/>
    <w:family w:val="auto"/>
    <w:pitch w:val="default"/>
    <w:sig w:usb0="00000000" w:usb1="00000000" w:usb2="00000000" w:usb3="00000000" w:csb0="00000000" w:csb1="00000000"/>
  </w:font>
  <w:font w:name="楷体">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Noto Sans CJK JP Bold">
    <w:panose1 w:val="020B0800000000000000"/>
    <w:charset w:val="86"/>
    <w:family w:val="auto"/>
    <w:pitch w:val="default"/>
    <w:sig w:usb0="30000003" w:usb1="2BDF3C10" w:usb2="00000016" w:usb3="00000000" w:csb0="602E0107" w:csb1="00000000"/>
  </w:font>
  <w:font w:name="文泉驿微米黑">
    <w:panose1 w:val="020B0606030804020204"/>
    <w:charset w:val="86"/>
    <w:family w:val="auto"/>
    <w:pitch w:val="default"/>
    <w:sig w:usb0="E10002EF" w:usb1="6BDFFCFB" w:usb2="00800036" w:usb3="00000000" w:csb0="603E01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OGA044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4">
    <w:p>
      <w:r>
        <w:separator/>
      </w:r>
    </w:p>
  </w:footnote>
  <w:footnote w:type="continuationSeparator" w:id="35">
    <w:p>
      <w:r>
        <w:continuationSeparator/>
      </w:r>
    </w:p>
  </w:footnote>
  <w:footnote w:id="0">
    <w:p>
      <w:pPr>
        <w:pStyle w:val="8"/>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《10kv及以下架空配电线路设计规范》11.0.2规定，线路电压为3kv-10kv的导线经过非居民区时，与地面的最小距离为5m。</w:t>
      </w:r>
    </w:p>
  </w:footnote>
  <w:footnote w:id="1">
    <w:p>
      <w:pPr>
        <w:pStyle w:val="8"/>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《中华人民共和国安全生产法》第四十九条第一款：</w:t>
      </w:r>
      <w:r>
        <w:rPr>
          <w:rFonts w:hint="eastAsia" w:ascii="宋体" w:hAnsi="宋体" w:eastAsia="宋体" w:cs="宋体"/>
          <w:i w:val="0"/>
          <w:iCs w:val="0"/>
          <w:caps w:val="0"/>
          <w:color w:val="333333"/>
          <w:spacing w:val="0"/>
          <w:sz w:val="18"/>
          <w:szCs w:val="18"/>
          <w:shd w:val="clear" w:fill="FFFFFF"/>
        </w:rPr>
        <w:t>生产经营单位不得将生产经营项目、场所、设备发包或者出租给不具备安全生产条件或者相应资质的单位或者个人</w:t>
      </w:r>
      <w:r>
        <w:rPr>
          <w:rFonts w:hint="default" w:ascii="Helvetica" w:hAnsi="Helvetica" w:eastAsia="Helvetica" w:cs="Helvetica"/>
          <w:i w:val="0"/>
          <w:iCs w:val="0"/>
          <w:caps w:val="0"/>
          <w:color w:val="333333"/>
          <w:spacing w:val="0"/>
          <w:sz w:val="21"/>
          <w:szCs w:val="21"/>
          <w:shd w:val="clear" w:fill="FFFFFF"/>
        </w:rPr>
        <w:t>。</w:t>
      </w:r>
    </w:p>
  </w:footnote>
  <w:footnote w:id="2">
    <w:p>
      <w:pPr>
        <w:pStyle w:val="8"/>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《中华人民共和国安全生产法》第四十一条第二款：</w:t>
      </w:r>
      <w:r>
        <w:rPr>
          <w:rFonts w:hint="eastAsia" w:ascii="宋体" w:hAnsi="宋体" w:eastAsia="宋体" w:cs="宋体"/>
          <w:i w:val="0"/>
          <w:iCs w:val="0"/>
          <w:caps w:val="0"/>
          <w:color w:val="333333"/>
          <w:spacing w:val="0"/>
          <w:sz w:val="18"/>
          <w:szCs w:val="18"/>
          <w:shd w:val="clear" w:fill="FFFFFF"/>
        </w:rPr>
        <w:t>生产经营单位应当建立健全并落实生产安全事故隐患排查治理制度，采取技术、管理措施，及时发现并消除事故隐患。</w:t>
      </w:r>
      <w:r>
        <w:rPr>
          <w:rFonts w:hint="eastAsia" w:ascii="宋体" w:hAnsi="宋体" w:eastAsia="宋体" w:cs="宋体"/>
          <w:i w:val="0"/>
          <w:iCs w:val="0"/>
          <w:caps w:val="0"/>
          <w:color w:val="333333"/>
          <w:spacing w:val="0"/>
          <w:sz w:val="18"/>
          <w:szCs w:val="18"/>
          <w:shd w:val="clear" w:fill="FFFFFF"/>
          <w:lang w:val="en-US" w:eastAsia="zh-CN"/>
        </w:rPr>
        <w:t>……。</w:t>
      </w:r>
    </w:p>
  </w:footnote>
  <w:footnote w:id="3">
    <w:p>
      <w:pPr>
        <w:pStyle w:val="8"/>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《中华人民共和国安全生产法》第四十一条第二款：</w:t>
      </w:r>
      <w:r>
        <w:rPr>
          <w:rFonts w:hint="eastAsia" w:ascii="宋体" w:hAnsi="宋体" w:eastAsia="宋体" w:cs="宋体"/>
          <w:i w:val="0"/>
          <w:iCs w:val="0"/>
          <w:caps w:val="0"/>
          <w:color w:val="333333"/>
          <w:spacing w:val="0"/>
          <w:sz w:val="18"/>
          <w:szCs w:val="18"/>
          <w:shd w:val="clear" w:fill="FFFFFF"/>
        </w:rPr>
        <w:t>生产经营单位应当建立健全并落实生产安全事故隐患排查治理制度，采取技术、管理措施，及时发现并消除事故隐患。</w:t>
      </w:r>
      <w:r>
        <w:rPr>
          <w:rFonts w:hint="eastAsia" w:ascii="宋体" w:hAnsi="宋体" w:eastAsia="宋体" w:cs="宋体"/>
          <w:i w:val="0"/>
          <w:iCs w:val="0"/>
          <w:caps w:val="0"/>
          <w:color w:val="333333"/>
          <w:spacing w:val="0"/>
          <w:sz w:val="18"/>
          <w:szCs w:val="18"/>
          <w:shd w:val="clear" w:fill="FFFFFF"/>
          <w:lang w:val="en-US" w:eastAsia="zh-CN"/>
        </w:rPr>
        <w:t>……。</w:t>
      </w:r>
    </w:p>
  </w:footnote>
  <w:footnote w:id="4">
    <w:p>
      <w:pPr>
        <w:pStyle w:val="8"/>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《中华人民共和国安全生产法》第四十一条第二款：</w:t>
      </w:r>
      <w:r>
        <w:rPr>
          <w:rFonts w:hint="eastAsia" w:ascii="宋体" w:hAnsi="宋体" w:eastAsia="宋体" w:cs="宋体"/>
          <w:i w:val="0"/>
          <w:iCs w:val="0"/>
          <w:caps w:val="0"/>
          <w:color w:val="333333"/>
          <w:spacing w:val="0"/>
          <w:sz w:val="18"/>
          <w:szCs w:val="18"/>
          <w:shd w:val="clear" w:fill="FFFFFF"/>
        </w:rPr>
        <w:t>生产经营单位应当建立健全并落实生产安全事故隐患排查治理制度，采取技术、管理措施，及时发现并消除事故隐患。</w:t>
      </w:r>
      <w:r>
        <w:rPr>
          <w:rFonts w:hint="eastAsia" w:ascii="宋体" w:hAnsi="宋体" w:eastAsia="宋体" w:cs="宋体"/>
          <w:i w:val="0"/>
          <w:iCs w:val="0"/>
          <w:caps w:val="0"/>
          <w:color w:val="333333"/>
          <w:spacing w:val="0"/>
          <w:sz w:val="18"/>
          <w:szCs w:val="18"/>
          <w:shd w:val="clear" w:fill="FFFFFF"/>
          <w:lang w:val="en-US" w:eastAsia="zh-CN"/>
        </w:rPr>
        <w:t>……。</w:t>
      </w:r>
    </w:p>
  </w:footnote>
  <w:footnote w:id="5">
    <w:p>
      <w:pPr>
        <w:pStyle w:val="8"/>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《中华人民共和国安全生产法》第四十九条第二款：……。</w:t>
      </w:r>
      <w:r>
        <w:rPr>
          <w:rFonts w:hint="eastAsia" w:ascii="宋体" w:hAnsi="宋体" w:eastAsia="宋体" w:cs="宋体"/>
          <w:i w:val="0"/>
          <w:iCs w:val="0"/>
          <w:caps w:val="0"/>
          <w:color w:val="333333"/>
          <w:spacing w:val="0"/>
          <w:sz w:val="18"/>
          <w:szCs w:val="18"/>
          <w:shd w:val="clear" w:fill="FFFFFF"/>
        </w:rPr>
        <w:t>生产经营单位对承包单位、承租单位的安全生产工作统一协调、管理，定期进行安全检查，发现安全问题的，应当及时督促整改</w:t>
      </w:r>
      <w:r>
        <w:rPr>
          <w:rFonts w:hint="eastAsia" w:ascii="宋体" w:hAnsi="宋体" w:eastAsia="宋体" w:cs="宋体"/>
          <w:i w:val="0"/>
          <w:iCs w:val="0"/>
          <w:caps w:val="0"/>
          <w:color w:val="333333"/>
          <w:spacing w:val="0"/>
          <w:sz w:val="18"/>
          <w:szCs w:val="18"/>
          <w:shd w:val="clear" w:fill="FFFFFF"/>
          <w:lang w:val="en-US" w:eastAsia="zh-CN"/>
        </w:rPr>
        <w:t>。</w:t>
      </w:r>
    </w:p>
  </w:footnote>
  <w:footnote w:id="6">
    <w:p>
      <w:pPr>
        <w:pStyle w:val="8"/>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《中华人民共和国安全生产法》第二十条：生产经营单位应当具备本法和有关法律、行政法规和国家标准或者行业标准规定的安全生产条件；不具备安全生产条件的，不得从事生产经营活动。</w:t>
      </w:r>
    </w:p>
  </w:footnote>
  <w:footnote w:id="7">
    <w:p>
      <w:pPr>
        <w:pStyle w:val="8"/>
        <w:snapToGrid w:val="0"/>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《中华人民共和国安全生产法》第四十九条第一款：</w:t>
      </w:r>
      <w:r>
        <w:rPr>
          <w:rFonts w:hint="eastAsia" w:ascii="宋体" w:hAnsi="宋体" w:eastAsia="宋体" w:cs="宋体"/>
          <w:i w:val="0"/>
          <w:iCs w:val="0"/>
          <w:caps w:val="0"/>
          <w:color w:val="333333"/>
          <w:spacing w:val="0"/>
          <w:sz w:val="18"/>
          <w:szCs w:val="18"/>
          <w:shd w:val="clear" w:fill="FFFFFF"/>
        </w:rPr>
        <w:t>生产经营单位不得将生产经营项目、场所、设备发包或者出租给不具备安全生产条件或者相应资质的单位或者个人</w:t>
      </w:r>
      <w:r>
        <w:rPr>
          <w:rFonts w:hint="default" w:ascii="Helvetica" w:hAnsi="Helvetica" w:eastAsia="Helvetica" w:cs="Helvetica"/>
          <w:i w:val="0"/>
          <w:iCs w:val="0"/>
          <w:caps w:val="0"/>
          <w:color w:val="333333"/>
          <w:spacing w:val="0"/>
          <w:sz w:val="21"/>
          <w:szCs w:val="21"/>
          <w:shd w:val="clear" w:fill="FFFFFF"/>
        </w:rPr>
        <w:t>。</w:t>
      </w:r>
    </w:p>
  </w:footnote>
  <w:footnote w:id="8">
    <w:p>
      <w:pPr>
        <w:pStyle w:val="8"/>
        <w:snapToGrid w:val="0"/>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《中华人民共和国安全生产法》第四十一条第二款：</w:t>
      </w:r>
      <w:r>
        <w:rPr>
          <w:rFonts w:hint="eastAsia" w:ascii="宋体" w:hAnsi="宋体" w:eastAsia="宋体" w:cs="宋体"/>
          <w:i w:val="0"/>
          <w:iCs w:val="0"/>
          <w:caps w:val="0"/>
          <w:color w:val="333333"/>
          <w:spacing w:val="0"/>
          <w:sz w:val="18"/>
          <w:szCs w:val="18"/>
          <w:shd w:val="clear" w:fill="FFFFFF"/>
        </w:rPr>
        <w:t>生产经营单位应当建立健全并落实生产安全事故隐患排查治理制度，采取技术、管理措施，及时发现并消除事故隐患。</w:t>
      </w:r>
      <w:r>
        <w:rPr>
          <w:rFonts w:hint="eastAsia" w:ascii="宋体" w:hAnsi="宋体" w:eastAsia="宋体" w:cs="宋体"/>
          <w:i w:val="0"/>
          <w:iCs w:val="0"/>
          <w:caps w:val="0"/>
          <w:color w:val="333333"/>
          <w:spacing w:val="0"/>
          <w:sz w:val="18"/>
          <w:szCs w:val="18"/>
          <w:shd w:val="clear" w:fill="FFFFFF"/>
          <w:lang w:val="en-US" w:eastAsia="zh-CN"/>
        </w:rPr>
        <w:t>……。</w:t>
      </w:r>
      <w:r>
        <w:rPr>
          <w:rFonts w:ascii="Helvetica" w:hAnsi="Helvetica" w:eastAsia="Helvetica" w:cs="Helvetica"/>
          <w:i w:val="0"/>
          <w:iCs w:val="0"/>
          <w:caps w:val="0"/>
          <w:color w:val="333333"/>
          <w:spacing w:val="0"/>
          <w:sz w:val="21"/>
          <w:szCs w:val="21"/>
          <w:shd w:val="clear" w:fill="FFFFFF"/>
        </w:rPr>
        <w:t> </w:t>
      </w:r>
    </w:p>
  </w:footnote>
  <w:footnote w:id="9">
    <w:p>
      <w:pPr>
        <w:pStyle w:val="8"/>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《中华人民共和国安全生产法》第二十一条第一款第五项：</w:t>
      </w:r>
      <w:r>
        <w:rPr>
          <w:rFonts w:hint="eastAsia" w:ascii="宋体" w:hAnsi="宋体" w:eastAsia="宋体" w:cs="宋体"/>
          <w:i w:val="0"/>
          <w:iCs w:val="0"/>
          <w:caps w:val="0"/>
          <w:color w:val="333333"/>
          <w:spacing w:val="0"/>
          <w:sz w:val="18"/>
          <w:szCs w:val="18"/>
          <w:shd w:val="clear" w:fill="FFFFFF"/>
        </w:rPr>
        <w:t>生产经营单位的主要负责人对本单位安全生产工作负有下列职责：（</w:t>
      </w:r>
      <w:r>
        <w:rPr>
          <w:rFonts w:hint="default" w:ascii="宋体" w:hAnsi="宋体" w:eastAsia="宋体" w:cs="宋体"/>
          <w:i w:val="0"/>
          <w:iCs w:val="0"/>
          <w:caps w:val="0"/>
          <w:color w:val="333333"/>
          <w:spacing w:val="0"/>
          <w:sz w:val="18"/>
          <w:szCs w:val="18"/>
          <w:shd w:val="clear" w:fill="FFFFFF"/>
        </w:rPr>
        <w:t>五）组织建立并落实安全风险分级管控和隐患排查治理双重预防工作机制，督促、检查本单位的安全生产工作，及时消除生产安全事故隐患</w:t>
      </w:r>
      <w:r>
        <w:rPr>
          <w:rFonts w:hint="default" w:ascii="宋体" w:hAnsi="宋体" w:eastAsia="宋体" w:cs="宋体"/>
          <w:i w:val="0"/>
          <w:iCs w:val="0"/>
          <w:caps w:val="0"/>
          <w:color w:val="333333"/>
          <w:spacing w:val="0"/>
          <w:sz w:val="18"/>
          <w:szCs w:val="18"/>
          <w:shd w:val="clear" w:fill="FFFFFF"/>
          <w:lang w:val="en-US" w:eastAsia="zh-CN"/>
        </w:rPr>
        <w:t>。</w:t>
      </w:r>
    </w:p>
  </w:footnote>
  <w:footnote w:id="10">
    <w:p>
      <w:pPr>
        <w:pStyle w:val="8"/>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《中华人民共和国安全生产法》第四十一条第二款：</w:t>
      </w:r>
      <w:r>
        <w:rPr>
          <w:rFonts w:hint="eastAsia" w:ascii="宋体" w:hAnsi="宋体" w:eastAsia="宋体" w:cs="宋体"/>
          <w:i w:val="0"/>
          <w:iCs w:val="0"/>
          <w:caps w:val="0"/>
          <w:color w:val="333333"/>
          <w:spacing w:val="0"/>
          <w:sz w:val="18"/>
          <w:szCs w:val="18"/>
          <w:shd w:val="clear" w:fill="FFFFFF"/>
        </w:rPr>
        <w:t>生产经营单位应当建立健全并落实生产安全事故隐患排查治理制度，采取技术、管理措施，及时发现并消除事故隐患。</w:t>
      </w:r>
      <w:r>
        <w:rPr>
          <w:rFonts w:hint="eastAsia" w:ascii="宋体" w:hAnsi="宋体" w:eastAsia="宋体" w:cs="宋体"/>
          <w:i w:val="0"/>
          <w:iCs w:val="0"/>
          <w:caps w:val="0"/>
          <w:color w:val="333333"/>
          <w:spacing w:val="0"/>
          <w:sz w:val="18"/>
          <w:szCs w:val="18"/>
          <w:shd w:val="clear" w:fill="FFFFFF"/>
          <w:lang w:val="en-US" w:eastAsia="zh-CN"/>
        </w:rPr>
        <w:t>……。</w:t>
      </w:r>
    </w:p>
  </w:footnote>
  <w:footnote w:id="11">
    <w:p>
      <w:pPr>
        <w:pStyle w:val="8"/>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《中华人民共和国安全生产法》第二十一条第一款第五项：</w:t>
      </w:r>
      <w:r>
        <w:rPr>
          <w:rFonts w:hint="eastAsia" w:ascii="宋体" w:hAnsi="宋体" w:eastAsia="宋体" w:cs="宋体"/>
          <w:i w:val="0"/>
          <w:iCs w:val="0"/>
          <w:caps w:val="0"/>
          <w:color w:val="333333"/>
          <w:spacing w:val="0"/>
          <w:sz w:val="18"/>
          <w:szCs w:val="18"/>
          <w:shd w:val="clear" w:fill="FFFFFF"/>
        </w:rPr>
        <w:t>生产经营单位的主要负责人对本单位安全生产工作负有下列职责：（</w:t>
      </w:r>
      <w:r>
        <w:rPr>
          <w:rFonts w:hint="default" w:ascii="宋体" w:hAnsi="宋体" w:eastAsia="宋体" w:cs="宋体"/>
          <w:i w:val="0"/>
          <w:iCs w:val="0"/>
          <w:caps w:val="0"/>
          <w:color w:val="333333"/>
          <w:spacing w:val="0"/>
          <w:sz w:val="18"/>
          <w:szCs w:val="18"/>
          <w:shd w:val="clear" w:fill="FFFFFF"/>
        </w:rPr>
        <w:t>五）组织建立并落实安全风险分级管控和隐患排查治理双重预防工作机制，督促、检查本单位的安全生产工作，及时消除生产安全事故隐患</w:t>
      </w:r>
      <w:r>
        <w:rPr>
          <w:rFonts w:hint="default" w:ascii="宋体" w:hAnsi="宋体" w:eastAsia="宋体" w:cs="宋体"/>
          <w:i w:val="0"/>
          <w:iCs w:val="0"/>
          <w:caps w:val="0"/>
          <w:color w:val="333333"/>
          <w:spacing w:val="0"/>
          <w:sz w:val="18"/>
          <w:szCs w:val="18"/>
          <w:shd w:val="clear" w:fill="FFFFFF"/>
          <w:lang w:val="en-US" w:eastAsia="zh-CN"/>
        </w:rPr>
        <w:t>。</w:t>
      </w:r>
    </w:p>
  </w:footnote>
  <w:footnote w:id="12">
    <w:p>
      <w:pPr>
        <w:pStyle w:val="8"/>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《中华人民共和国安全生产法》第四十一条第二款：</w:t>
      </w:r>
      <w:r>
        <w:rPr>
          <w:rFonts w:hint="eastAsia" w:ascii="宋体" w:hAnsi="宋体" w:eastAsia="宋体" w:cs="宋体"/>
          <w:i w:val="0"/>
          <w:iCs w:val="0"/>
          <w:caps w:val="0"/>
          <w:color w:val="333333"/>
          <w:spacing w:val="0"/>
          <w:sz w:val="18"/>
          <w:szCs w:val="18"/>
          <w:shd w:val="clear" w:fill="FFFFFF"/>
        </w:rPr>
        <w:t>生产经营单位应当建立健全并落实生产安全事故隐患排查治理制度，采取技术、管理措施，及时发现并消除事故隐患。</w:t>
      </w:r>
      <w:r>
        <w:rPr>
          <w:rFonts w:hint="eastAsia" w:ascii="宋体" w:hAnsi="宋体" w:eastAsia="宋体" w:cs="宋体"/>
          <w:i w:val="0"/>
          <w:iCs w:val="0"/>
          <w:caps w:val="0"/>
          <w:color w:val="333333"/>
          <w:spacing w:val="0"/>
          <w:sz w:val="18"/>
          <w:szCs w:val="18"/>
          <w:shd w:val="clear" w:fill="FFFFFF"/>
          <w:lang w:val="en-US" w:eastAsia="zh-CN"/>
        </w:rPr>
        <w:t>……。</w:t>
      </w:r>
    </w:p>
  </w:footnote>
  <w:footnote w:id="13">
    <w:p>
      <w:pPr>
        <w:pStyle w:val="8"/>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《中华人民共和国安全生产法》第二十一条第一款第五项：</w:t>
      </w:r>
      <w:r>
        <w:rPr>
          <w:rFonts w:hint="eastAsia" w:ascii="宋体" w:hAnsi="宋体" w:eastAsia="宋体" w:cs="宋体"/>
          <w:i w:val="0"/>
          <w:iCs w:val="0"/>
          <w:caps w:val="0"/>
          <w:color w:val="333333"/>
          <w:spacing w:val="0"/>
          <w:sz w:val="18"/>
          <w:szCs w:val="18"/>
          <w:shd w:val="clear" w:fill="FFFFFF"/>
        </w:rPr>
        <w:t>生产经营单位的主要负责人对本单位安全生产工作负有下列职责：（</w:t>
      </w:r>
      <w:r>
        <w:rPr>
          <w:rFonts w:hint="default" w:ascii="宋体" w:hAnsi="宋体" w:eastAsia="宋体" w:cs="宋体"/>
          <w:i w:val="0"/>
          <w:iCs w:val="0"/>
          <w:caps w:val="0"/>
          <w:color w:val="333333"/>
          <w:spacing w:val="0"/>
          <w:sz w:val="18"/>
          <w:szCs w:val="18"/>
          <w:shd w:val="clear" w:fill="FFFFFF"/>
        </w:rPr>
        <w:t>五）组织建立并落实安全风险分级管控和隐患排查治理双重预防工作机制，督促、检查本单位的安全生产工作，及时消除生产安全事故隐患</w:t>
      </w:r>
      <w:r>
        <w:rPr>
          <w:rFonts w:hint="default" w:ascii="宋体" w:hAnsi="宋体" w:eastAsia="宋体" w:cs="宋体"/>
          <w:i w:val="0"/>
          <w:iCs w:val="0"/>
          <w:caps w:val="0"/>
          <w:color w:val="333333"/>
          <w:spacing w:val="0"/>
          <w:sz w:val="18"/>
          <w:szCs w:val="18"/>
          <w:shd w:val="clear" w:fill="FFFFFF"/>
          <w:lang w:val="en-US" w:eastAsia="zh-CN"/>
        </w:rPr>
        <w:t>。</w:t>
      </w:r>
    </w:p>
  </w:footnote>
  <w:footnote w:id="14">
    <w:p>
      <w:pPr>
        <w:pStyle w:val="8"/>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《中华人民共和国安全生产法》第四十九条第二款：……。</w:t>
      </w:r>
      <w:r>
        <w:rPr>
          <w:rFonts w:hint="eastAsia" w:ascii="宋体" w:hAnsi="宋体" w:eastAsia="宋体" w:cs="宋体"/>
          <w:i w:val="0"/>
          <w:iCs w:val="0"/>
          <w:caps w:val="0"/>
          <w:color w:val="333333"/>
          <w:spacing w:val="0"/>
          <w:sz w:val="18"/>
          <w:szCs w:val="18"/>
          <w:shd w:val="clear" w:fill="FFFFFF"/>
        </w:rPr>
        <w:t>生产经营单位对承包单位、承租单位的安全生产工作统一协调、管理，定期进行安全检查，发现安全问题的，应当及时督促整改</w:t>
      </w:r>
      <w:r>
        <w:rPr>
          <w:rFonts w:hint="eastAsia" w:ascii="宋体" w:hAnsi="宋体" w:eastAsia="宋体" w:cs="宋体"/>
          <w:i w:val="0"/>
          <w:iCs w:val="0"/>
          <w:caps w:val="0"/>
          <w:color w:val="333333"/>
          <w:spacing w:val="0"/>
          <w:sz w:val="18"/>
          <w:szCs w:val="18"/>
          <w:shd w:val="clear" w:fill="FFFFFF"/>
          <w:lang w:val="en-US" w:eastAsia="zh-CN"/>
        </w:rPr>
        <w:t>。</w:t>
      </w:r>
    </w:p>
  </w:footnote>
  <w:footnote w:id="15">
    <w:p>
      <w:pPr>
        <w:pStyle w:val="8"/>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《中华人民共和国安全生产法》第二十条：生产经营单位应当具备本法和有关法律、行政法规和国家标准或者行业标准规定的安全生产条件；不具备安全生产条件的，不得从事生产经营活动。</w:t>
      </w:r>
    </w:p>
  </w:footnote>
  <w:footnote w:id="16">
    <w:p>
      <w:pPr>
        <w:pStyle w:val="8"/>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人格混同是指公司与其股东在资产、业务和人事上存在严重的重叠或交叉，导致交易的第三方无法区分是与公司还是与股东进行交易的情况。</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34"/>
    <w:footnote w:id="35"/>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I2MzEyMTdiNjdjYjIyYTY2ODA4NWVjNmJjNTVhMzkifQ=="/>
  </w:docVars>
  <w:rsids>
    <w:rsidRoot w:val="00000000"/>
    <w:rsid w:val="01272291"/>
    <w:rsid w:val="015D704A"/>
    <w:rsid w:val="01975F2A"/>
    <w:rsid w:val="029B554B"/>
    <w:rsid w:val="03115797"/>
    <w:rsid w:val="04972AF0"/>
    <w:rsid w:val="04EE2C71"/>
    <w:rsid w:val="069D376A"/>
    <w:rsid w:val="07235BC1"/>
    <w:rsid w:val="07416C26"/>
    <w:rsid w:val="0875795F"/>
    <w:rsid w:val="08F03CFB"/>
    <w:rsid w:val="09E31E69"/>
    <w:rsid w:val="0B790DA4"/>
    <w:rsid w:val="0F477446"/>
    <w:rsid w:val="109A2C4A"/>
    <w:rsid w:val="124B62E3"/>
    <w:rsid w:val="133E77DA"/>
    <w:rsid w:val="134C5737"/>
    <w:rsid w:val="13862736"/>
    <w:rsid w:val="158E49EC"/>
    <w:rsid w:val="16185F33"/>
    <w:rsid w:val="16BE5BF4"/>
    <w:rsid w:val="18872E96"/>
    <w:rsid w:val="197717C9"/>
    <w:rsid w:val="19F23D41"/>
    <w:rsid w:val="1C27133D"/>
    <w:rsid w:val="1C8629DB"/>
    <w:rsid w:val="1D0E2D6B"/>
    <w:rsid w:val="1D296698"/>
    <w:rsid w:val="1E011EC8"/>
    <w:rsid w:val="1E746830"/>
    <w:rsid w:val="22C51783"/>
    <w:rsid w:val="23E41A5C"/>
    <w:rsid w:val="244264DB"/>
    <w:rsid w:val="258225A2"/>
    <w:rsid w:val="2A7C742D"/>
    <w:rsid w:val="2A911998"/>
    <w:rsid w:val="2E0C0A65"/>
    <w:rsid w:val="2F0517B1"/>
    <w:rsid w:val="2F2E5C55"/>
    <w:rsid w:val="306233EC"/>
    <w:rsid w:val="31840DF2"/>
    <w:rsid w:val="33062E0E"/>
    <w:rsid w:val="335D7180"/>
    <w:rsid w:val="33797B81"/>
    <w:rsid w:val="33C7309F"/>
    <w:rsid w:val="341A43E5"/>
    <w:rsid w:val="341D4E80"/>
    <w:rsid w:val="34366954"/>
    <w:rsid w:val="354F0D81"/>
    <w:rsid w:val="35C23486"/>
    <w:rsid w:val="35DA2FC5"/>
    <w:rsid w:val="37790091"/>
    <w:rsid w:val="37E132BB"/>
    <w:rsid w:val="382E4EF7"/>
    <w:rsid w:val="388D27E6"/>
    <w:rsid w:val="392405F8"/>
    <w:rsid w:val="39DF583A"/>
    <w:rsid w:val="3B4D3C45"/>
    <w:rsid w:val="3B9A12C1"/>
    <w:rsid w:val="3E6A6FA0"/>
    <w:rsid w:val="3F24387F"/>
    <w:rsid w:val="3F444EEA"/>
    <w:rsid w:val="3FC63DFA"/>
    <w:rsid w:val="40994F48"/>
    <w:rsid w:val="414939AC"/>
    <w:rsid w:val="416F39C9"/>
    <w:rsid w:val="41A22562"/>
    <w:rsid w:val="41DC759B"/>
    <w:rsid w:val="42A02D18"/>
    <w:rsid w:val="446045BF"/>
    <w:rsid w:val="458E1F9D"/>
    <w:rsid w:val="463125E0"/>
    <w:rsid w:val="469C465F"/>
    <w:rsid w:val="46D46AA3"/>
    <w:rsid w:val="470A2CB9"/>
    <w:rsid w:val="47351CE1"/>
    <w:rsid w:val="4857125A"/>
    <w:rsid w:val="48B207FC"/>
    <w:rsid w:val="48DA5C15"/>
    <w:rsid w:val="4993388D"/>
    <w:rsid w:val="4B194BBB"/>
    <w:rsid w:val="4F7C2E75"/>
    <w:rsid w:val="501D0668"/>
    <w:rsid w:val="50486347"/>
    <w:rsid w:val="50513754"/>
    <w:rsid w:val="506B5A1F"/>
    <w:rsid w:val="507D2C77"/>
    <w:rsid w:val="510E4456"/>
    <w:rsid w:val="511D797B"/>
    <w:rsid w:val="51B3395D"/>
    <w:rsid w:val="541E1755"/>
    <w:rsid w:val="55FB7C5A"/>
    <w:rsid w:val="58B43DF8"/>
    <w:rsid w:val="58C1227A"/>
    <w:rsid w:val="58E608E9"/>
    <w:rsid w:val="599E119F"/>
    <w:rsid w:val="5B892EFD"/>
    <w:rsid w:val="5F135D08"/>
    <w:rsid w:val="61942AA8"/>
    <w:rsid w:val="631060C9"/>
    <w:rsid w:val="642146AA"/>
    <w:rsid w:val="648275DD"/>
    <w:rsid w:val="656F0478"/>
    <w:rsid w:val="65C80AA6"/>
    <w:rsid w:val="665B2F92"/>
    <w:rsid w:val="67FB68A8"/>
    <w:rsid w:val="68F05E5D"/>
    <w:rsid w:val="69BF3287"/>
    <w:rsid w:val="6AA912DB"/>
    <w:rsid w:val="6BC46DE2"/>
    <w:rsid w:val="6C765B1E"/>
    <w:rsid w:val="6D091ACE"/>
    <w:rsid w:val="6D95775F"/>
    <w:rsid w:val="6DBC6955"/>
    <w:rsid w:val="71A246DD"/>
    <w:rsid w:val="72EE2348"/>
    <w:rsid w:val="73424B26"/>
    <w:rsid w:val="73750B9E"/>
    <w:rsid w:val="73D32970"/>
    <w:rsid w:val="74670EBE"/>
    <w:rsid w:val="749E6EB1"/>
    <w:rsid w:val="7547275C"/>
    <w:rsid w:val="75685CA1"/>
    <w:rsid w:val="757B5DE1"/>
    <w:rsid w:val="75CD1C51"/>
    <w:rsid w:val="75DF6503"/>
    <w:rsid w:val="76406BCB"/>
    <w:rsid w:val="76AE6AD3"/>
    <w:rsid w:val="76C26CE6"/>
    <w:rsid w:val="78A04CBE"/>
    <w:rsid w:val="79383E6C"/>
    <w:rsid w:val="79D74870"/>
    <w:rsid w:val="7A6856D2"/>
    <w:rsid w:val="7AFB1C5D"/>
    <w:rsid w:val="7C07204B"/>
    <w:rsid w:val="7C246FDD"/>
    <w:rsid w:val="7EF43758"/>
    <w:rsid w:val="7FD902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20"/>
    <w:autoRedefine/>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2">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3">
    <w:name w:val="Normal Indent"/>
    <w:basedOn w:val="1"/>
    <w:next w:val="1"/>
    <w:autoRedefine/>
    <w:qFormat/>
    <w:uiPriority w:val="0"/>
    <w:pPr>
      <w:ind w:firstLine="420" w:firstLineChars="200"/>
    </w:pPr>
    <w:rPr>
      <w:rFonts w:eastAsia="仿宋"/>
      <w:sz w:val="32"/>
    </w:rPr>
  </w:style>
  <w:style w:type="paragraph" w:styleId="4">
    <w:name w:val="Body Text Indent"/>
    <w:basedOn w:val="1"/>
    <w:next w:val="3"/>
    <w:autoRedefine/>
    <w:qFormat/>
    <w:uiPriority w:val="0"/>
    <w:pPr>
      <w:ind w:firstLine="622" w:firstLineChars="200"/>
    </w:p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autoRedefine/>
    <w:qFormat/>
    <w:uiPriority w:val="0"/>
  </w:style>
  <w:style w:type="paragraph" w:styleId="8">
    <w:name w:val="footnote text"/>
    <w:basedOn w:val="1"/>
    <w:autoRedefine/>
    <w:qFormat/>
    <w:uiPriority w:val="0"/>
    <w:pPr>
      <w:snapToGrid w:val="0"/>
      <w:jc w:val="left"/>
    </w:pPr>
    <w:rPr>
      <w:sz w:val="18"/>
    </w:rPr>
  </w:style>
  <w:style w:type="paragraph" w:styleId="9">
    <w:name w:val="toc 2"/>
    <w:basedOn w:val="1"/>
    <w:next w:val="1"/>
    <w:autoRedefine/>
    <w:qFormat/>
    <w:uiPriority w:val="0"/>
    <w:pPr>
      <w:ind w:left="420" w:leftChars="200"/>
    </w:pPr>
  </w:style>
  <w:style w:type="paragraph" w:styleId="10">
    <w:name w:val="Body Text First Indent 2"/>
    <w:basedOn w:val="4"/>
    <w:next w:val="1"/>
    <w:autoRedefine/>
    <w:qFormat/>
    <w:uiPriority w:val="0"/>
    <w:pPr>
      <w:ind w:firstLine="420"/>
    </w:pPr>
  </w:style>
  <w:style w:type="character" w:styleId="13">
    <w:name w:val="Strong"/>
    <w:basedOn w:val="12"/>
    <w:autoRedefine/>
    <w:qFormat/>
    <w:uiPriority w:val="0"/>
    <w:rPr>
      <w:b/>
    </w:rPr>
  </w:style>
  <w:style w:type="character" w:styleId="14">
    <w:name w:val="Emphasis"/>
    <w:basedOn w:val="12"/>
    <w:autoRedefine/>
    <w:qFormat/>
    <w:uiPriority w:val="0"/>
    <w:rPr>
      <w:i/>
    </w:rPr>
  </w:style>
  <w:style w:type="character" w:styleId="15">
    <w:name w:val="Hyperlink"/>
    <w:basedOn w:val="12"/>
    <w:qFormat/>
    <w:uiPriority w:val="0"/>
    <w:rPr>
      <w:color w:val="0000FF"/>
      <w:u w:val="single"/>
    </w:rPr>
  </w:style>
  <w:style w:type="character" w:styleId="16">
    <w:name w:val="footnote reference"/>
    <w:basedOn w:val="12"/>
    <w:autoRedefine/>
    <w:qFormat/>
    <w:uiPriority w:val="0"/>
    <w:rPr>
      <w:vertAlign w:val="superscript"/>
    </w:rPr>
  </w:style>
  <w:style w:type="paragraph" w:customStyle="1" w:styleId="17">
    <w:name w:val="li_正文"/>
    <w:basedOn w:val="1"/>
    <w:autoRedefine/>
    <w:qFormat/>
    <w:uiPriority w:val="0"/>
    <w:pPr>
      <w:widowControl w:val="0"/>
      <w:topLinePunct/>
      <w:adjustRightInd w:val="0"/>
      <w:snapToGrid w:val="0"/>
      <w:spacing w:line="360" w:lineRule="auto"/>
      <w:ind w:firstLine="700" w:firstLineChars="250"/>
      <w:textAlignment w:val="auto"/>
    </w:pPr>
    <w:rPr>
      <w:rFonts w:ascii="宋体" w:hAnsi="宋体"/>
      <w:sz w:val="28"/>
      <w:szCs w:val="28"/>
      <w:u w:val="none" w:color="auto"/>
    </w:rPr>
  </w:style>
  <w:style w:type="paragraph" w:customStyle="1" w:styleId="18">
    <w:name w:val="WPSOffice手动目录 1"/>
    <w:autoRedefine/>
    <w:qFormat/>
    <w:uiPriority w:val="0"/>
    <w:pPr>
      <w:ind w:leftChars="0"/>
    </w:pPr>
    <w:rPr>
      <w:rFonts w:ascii="Times New Roman" w:hAnsi="Times New Roman" w:eastAsia="宋体" w:cs="Times New Roman"/>
      <w:sz w:val="20"/>
      <w:szCs w:val="20"/>
    </w:rPr>
  </w:style>
  <w:style w:type="paragraph" w:customStyle="1" w:styleId="19">
    <w:name w:val="WPSOffice手动目录 2"/>
    <w:autoRedefine/>
    <w:qFormat/>
    <w:uiPriority w:val="0"/>
    <w:pPr>
      <w:ind w:leftChars="200"/>
    </w:pPr>
    <w:rPr>
      <w:rFonts w:ascii="Times New Roman" w:hAnsi="Times New Roman" w:eastAsia="宋体" w:cs="Times New Roman"/>
      <w:sz w:val="20"/>
      <w:szCs w:val="20"/>
    </w:rPr>
  </w:style>
  <w:style w:type="character" w:customStyle="1" w:styleId="20">
    <w:name w:val="标题 2 Char"/>
    <w:link w:val="2"/>
    <w:autoRedefine/>
    <w:qFormat/>
    <w:uiPriority w:val="0"/>
    <w:rPr>
      <w:rFonts w:ascii="Arial" w:hAnsi="Arial" w:eastAsia="黑体"/>
      <w:b/>
      <w:sz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7974</Words>
  <Characters>8488</Characters>
  <Lines>0</Lines>
  <Paragraphs>0</Paragraphs>
  <TotalTime>20</TotalTime>
  <ScaleCrop>false</ScaleCrop>
  <LinksUpToDate>false</LinksUpToDate>
  <CharactersWithSpaces>8568</CharactersWithSpaces>
  <Application>WPS Office_12.8.2.1112_F1E327BC-269C-435d-A152-05C5408002CA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Administrator</dc:creator>
  <cp:lastModifiedBy>朱三三</cp:lastModifiedBy>
  <cp:lastPrinted>2024-03-07T11:44:00Z</cp:lastPrinted>
  <dcterms:modified xsi:type="dcterms:W3CDTF">2024-12-19T09:15:59Z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2052-12.8.2.1112</vt:lpwstr>
  </property>
  <property fmtid="{D5CDD505-2E9C-101B-9397-08002B2CF9AE}" pid="3" name="ICV">
    <vt:lpwstr>AF450FF47FDD40A9AA1F748738A47F22_13</vt:lpwstr>
  </property>
</Properties>
</file>