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BD57D">
      <w:pPr>
        <w:snapToGrid w:val="0"/>
        <w:spacing w:line="600" w:lineRule="exact"/>
        <w:jc w:val="both"/>
        <w:rPr>
          <w:rFonts w:hint="eastAsia" w:ascii="方正小标宋简体" w:hAnsi="方正小标宋简体" w:eastAsia="方正小标宋简体" w:cs="方正小标宋简体"/>
          <w:spacing w:val="11"/>
          <w:sz w:val="44"/>
          <w:szCs w:val="44"/>
        </w:rPr>
      </w:pPr>
    </w:p>
    <w:p w14:paraId="11B6233B">
      <w:pPr>
        <w:snapToGrid w:val="0"/>
        <w:spacing w:line="6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康庄路（康宁路—青化路）道路排水工程</w:t>
      </w:r>
    </w:p>
    <w:p w14:paraId="31DAADD7">
      <w:pPr>
        <w:snapToGrid w:val="0"/>
        <w:spacing w:line="620" w:lineRule="exact"/>
        <w:jc w:val="center"/>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房屋征收项目征收补偿方案</w:t>
      </w:r>
    </w:p>
    <w:p w14:paraId="3AF0A2AD">
      <w:pPr>
        <w:spacing w:line="52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（修订稿）</w:t>
      </w:r>
      <w:bookmarkStart w:id="3" w:name="_GoBack"/>
      <w:bookmarkEnd w:id="3"/>
    </w:p>
    <w:p w14:paraId="72D344AC">
      <w:pPr>
        <w:snapToGrid w:val="0"/>
        <w:spacing w:before="240" w:beforeLines="100" w:line="560" w:lineRule="exact"/>
        <w:ind w:firstLine="640" w:firstLineChars="200"/>
        <w:jc w:val="center"/>
        <w:rPr>
          <w:rFonts w:hint="eastAsia" w:ascii="仿宋_GB2312" w:eastAsia="仿宋_GB2312"/>
          <w:sz w:val="32"/>
          <w:szCs w:val="32"/>
        </w:rPr>
      </w:pPr>
    </w:p>
    <w:p w14:paraId="7BAE60E3">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为实施交通基础设施建设，根据《国有土地上房屋征收与补偿条例》（国务院令第590号）等相关法律法规规定，青山区人民政府对康庄路（康宁路—青化路）道路排水工程</w:t>
      </w:r>
      <w:r>
        <w:rPr>
          <w:rFonts w:hint="eastAsia" w:ascii="仿宋_GB2312" w:hAnsi="仿宋" w:eastAsia="仿宋_GB2312"/>
          <w:sz w:val="32"/>
          <w:szCs w:val="32"/>
        </w:rPr>
        <w:t>房屋征收项目</w:t>
      </w:r>
      <w:r>
        <w:rPr>
          <w:rFonts w:hint="eastAsia" w:ascii="仿宋_GB2312" w:eastAsia="仿宋_GB2312"/>
          <w:sz w:val="32"/>
          <w:szCs w:val="32"/>
        </w:rPr>
        <w:t>国有土地上的房屋实施征收。该项目经</w:t>
      </w:r>
      <w:r>
        <w:rPr>
          <w:rFonts w:hint="eastAsia" w:ascii="仿宋_GB2312" w:hAnsi="仿宋_GB2312" w:eastAsia="仿宋_GB2312" w:cs="仿宋_GB2312"/>
          <w:sz w:val="32"/>
          <w:szCs w:val="32"/>
        </w:rPr>
        <w:t>区发改局立项批复《区发改局关于康庄路（康宁路—青化路）道路排水工程可行性研究报告（代项目建议书）的批复》（青发改政〔2020〕54号）</w:t>
      </w:r>
      <w:r>
        <w:rPr>
          <w:rFonts w:hint="eastAsia" w:ascii="仿宋_GB2312" w:eastAsia="仿宋_GB2312"/>
          <w:sz w:val="32"/>
          <w:szCs w:val="32"/>
        </w:rPr>
        <w:t>，已在原武汉市自然资源和规划局青山分局办理</w:t>
      </w:r>
      <w:r>
        <w:rPr>
          <w:rFonts w:hint="eastAsia" w:ascii="仿宋_GB2312" w:eastAsia="仿宋_GB2312"/>
          <w:spacing w:val="6"/>
          <w:sz w:val="32"/>
          <w:szCs w:val="32"/>
        </w:rPr>
        <w:t>《建设项目用地预审与选址意见书》</w:t>
      </w:r>
      <w:r>
        <w:rPr>
          <w:rFonts w:hint="eastAsia" w:ascii="仿宋_GB2312" w:eastAsia="仿宋_GB2312"/>
          <w:sz w:val="32"/>
          <w:szCs w:val="32"/>
        </w:rPr>
        <w:t>（武自规（青）用</w:t>
      </w:r>
      <w:r>
        <w:rPr>
          <w:rFonts w:hint="eastAsia" w:ascii="仿宋_GB2312" w:hAnsi="仿宋_GB2312" w:eastAsia="仿宋_GB2312" w:cs="仿宋_GB2312"/>
          <w:sz w:val="32"/>
          <w:szCs w:val="32"/>
        </w:rPr>
        <w:t>〔</w:t>
      </w:r>
      <w:r>
        <w:rPr>
          <w:rFonts w:hint="eastAsia" w:ascii="仿宋_GB2312" w:eastAsia="仿宋_GB2312"/>
          <w:sz w:val="32"/>
          <w:szCs w:val="32"/>
        </w:rPr>
        <w:t>2020</w:t>
      </w:r>
      <w:r>
        <w:rPr>
          <w:rFonts w:hint="eastAsia" w:ascii="仿宋_GB2312" w:hAnsi="仿宋_GB2312" w:eastAsia="仿宋_GB2312" w:cs="仿宋_GB2312"/>
          <w:sz w:val="32"/>
          <w:szCs w:val="32"/>
        </w:rPr>
        <w:t>〕003</w:t>
      </w:r>
      <w:r>
        <w:rPr>
          <w:rFonts w:hint="eastAsia" w:ascii="仿宋_GB2312" w:eastAsia="仿宋_GB2312"/>
          <w:sz w:val="32"/>
          <w:szCs w:val="32"/>
        </w:rPr>
        <w:t>号）。为依法实施房屋征收补偿工作，保障被征收人、公有房屋承租人的合法权益，现制定该项目征收补偿方案。</w:t>
      </w:r>
    </w:p>
    <w:p w14:paraId="2AF67ACD">
      <w:pPr>
        <w:snapToGrid w:val="0"/>
        <w:spacing w:line="520" w:lineRule="exact"/>
        <w:ind w:firstLine="640" w:firstLineChars="200"/>
        <w:rPr>
          <w:rFonts w:hint="eastAsia" w:ascii="黑体" w:eastAsia="黑体"/>
          <w:sz w:val="32"/>
          <w:szCs w:val="32"/>
        </w:rPr>
      </w:pPr>
      <w:r>
        <w:rPr>
          <w:rFonts w:hint="eastAsia" w:ascii="黑体" w:eastAsia="黑体"/>
          <w:sz w:val="32"/>
          <w:szCs w:val="32"/>
        </w:rPr>
        <w:t>一、法律依据</w:t>
      </w:r>
    </w:p>
    <w:p w14:paraId="4148A39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（一）《国有土地上房屋征收与补偿条例》（中华人民共和国国务院令第590号）</w:t>
      </w:r>
    </w:p>
    <w:p w14:paraId="32804F64">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（二）《湖北省国有土地上房屋征收与补偿实施办法》（湖北省人民政府令第380号）</w:t>
      </w:r>
    </w:p>
    <w:p w14:paraId="41C6D0B7">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（三）《武汉市国有土地上房屋征收与补偿实施办法》（武汉市人民政府令第234号公布，第275号令修改，第312号令第二次修改，第3</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2号令第三次修改）</w:t>
      </w:r>
    </w:p>
    <w:p w14:paraId="2D1C79F5">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（四）《市人民政府关于印发武汉市国有土地上房屋征收与补偿操作指引的通知》（武政规〔2023〕7号）</w:t>
      </w:r>
    </w:p>
    <w:p w14:paraId="48C79185">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（五）《国有土地上房屋征收评估办法》（建房〔2011〕77号）</w:t>
      </w:r>
    </w:p>
    <w:p w14:paraId="53F71E99">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（六）其他相关法律法规</w:t>
      </w:r>
    </w:p>
    <w:p w14:paraId="2A92636F">
      <w:pPr>
        <w:snapToGrid w:val="0"/>
        <w:spacing w:line="520" w:lineRule="exact"/>
        <w:ind w:firstLine="640" w:firstLineChars="200"/>
        <w:rPr>
          <w:rFonts w:hint="eastAsia" w:ascii="黑体" w:eastAsia="黑体"/>
          <w:sz w:val="32"/>
          <w:szCs w:val="32"/>
        </w:rPr>
      </w:pPr>
      <w:r>
        <w:rPr>
          <w:rFonts w:hint="eastAsia" w:ascii="黑体" w:eastAsia="黑体"/>
          <w:sz w:val="32"/>
          <w:szCs w:val="32"/>
        </w:rPr>
        <w:t>二、基本情况　</w:t>
      </w:r>
    </w:p>
    <w:p w14:paraId="04D4702D">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（一）项目名称</w:t>
      </w:r>
    </w:p>
    <w:p w14:paraId="27276F10">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康庄路（康宁路—青化路）道路排水工程</w:t>
      </w:r>
      <w:r>
        <w:rPr>
          <w:rFonts w:hint="eastAsia" w:ascii="仿宋_GB2312" w:hAnsi="仿宋" w:eastAsia="仿宋_GB2312"/>
          <w:sz w:val="32"/>
          <w:szCs w:val="32"/>
        </w:rPr>
        <w:t>房屋征收项目</w:t>
      </w:r>
      <w:r>
        <w:rPr>
          <w:rFonts w:hint="eastAsia" w:ascii="仿宋_GB2312" w:hAnsi="仿宋_GB2312" w:eastAsia="仿宋_GB2312" w:cs="仿宋_GB2312"/>
          <w:sz w:val="32"/>
          <w:szCs w:val="32"/>
        </w:rPr>
        <w:t>。</w:t>
      </w:r>
    </w:p>
    <w:p w14:paraId="72F5978C">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（二）征收目的</w:t>
      </w:r>
    </w:p>
    <w:p w14:paraId="1EF02B1E">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实施交通基础设施建设。</w:t>
      </w:r>
    </w:p>
    <w:p w14:paraId="539A4AB2">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（三）征收范围</w:t>
      </w:r>
    </w:p>
    <w:p w14:paraId="540A2A5F">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该项目东起青化路，西至康宁路（详见征收范围图）</w:t>
      </w:r>
      <w:r>
        <w:rPr>
          <w:rFonts w:hint="eastAsia" w:ascii="仿宋_GB2312" w:hAnsi="仿宋" w:eastAsia="仿宋_GB2312"/>
          <w:sz w:val="32"/>
          <w:szCs w:val="32"/>
        </w:rPr>
        <w:t>。</w:t>
      </w:r>
    </w:p>
    <w:p w14:paraId="537B8DD0">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（四）调查概况</w:t>
      </w:r>
    </w:p>
    <w:p w14:paraId="4FE888D2">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该项目占地面积约67479.76平方米（最终以实测为准），征收总户数约22户，征收房屋建筑面积约4725.15平方米（具体数据均以审计结果为准）。</w:t>
      </w:r>
    </w:p>
    <w:p w14:paraId="57B44622">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（五）房屋征收部门</w:t>
      </w:r>
    </w:p>
    <w:p w14:paraId="762A8E6D">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武汉市青山区住房和城市更新局。</w:t>
      </w:r>
    </w:p>
    <w:p w14:paraId="3712EA03">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（六）房屋征收实施单位</w:t>
      </w:r>
    </w:p>
    <w:p w14:paraId="0349ACE1">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武汉市青山区人民政府白玉山街道办事处。</w:t>
      </w:r>
    </w:p>
    <w:p w14:paraId="3A469E74">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（七）被征收人和公有房屋承租人</w:t>
      </w:r>
    </w:p>
    <w:p w14:paraId="65EE04C5">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被征收人是指被征收房屋的所有权人。</w:t>
      </w:r>
    </w:p>
    <w:p w14:paraId="442D0A4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公有房屋承租人是指与公有房屋的产权人或者管理人建立租赁关系，并执行政府规定标准租金的直管公房和自管公房承租人，公共租赁住房、廉租住房的承租人除外。</w:t>
      </w:r>
    </w:p>
    <w:p w14:paraId="76B6F506">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（八）被征收房屋建筑面积和房屋用途的认定</w:t>
      </w:r>
    </w:p>
    <w:p w14:paraId="71B09782">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4767898C">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（九）评估时点</w:t>
      </w:r>
    </w:p>
    <w:p w14:paraId="373EFED8">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评估时点为房屋征收决定公告之日。</w:t>
      </w:r>
    </w:p>
    <w:p w14:paraId="328683DE">
      <w:pPr>
        <w:snapToGrid w:val="0"/>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（十）征收签约期限</w:t>
      </w:r>
    </w:p>
    <w:p w14:paraId="394FFBA9">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该项目征收签约期限为3个月，自被征收房屋评估结果公布之日起计算。</w:t>
      </w:r>
    </w:p>
    <w:p w14:paraId="33E1A02D">
      <w:pPr>
        <w:spacing w:line="520" w:lineRule="exact"/>
        <w:ind w:firstLine="640" w:firstLineChars="200"/>
        <w:rPr>
          <w:rFonts w:hint="eastAsia" w:ascii="黑体" w:hAnsi="宋体" w:eastAsia="黑体"/>
          <w:sz w:val="32"/>
        </w:rPr>
      </w:pPr>
      <w:r>
        <w:rPr>
          <w:rFonts w:hint="eastAsia" w:ascii="黑体" w:hAnsi="宋体" w:eastAsia="黑体"/>
          <w:sz w:val="32"/>
        </w:rPr>
        <w:t>三、住宅房屋补偿</w:t>
      </w:r>
    </w:p>
    <w:p w14:paraId="08266FE7">
      <w:pPr>
        <w:spacing w:line="520" w:lineRule="exact"/>
        <w:ind w:firstLine="640" w:firstLineChars="200"/>
        <w:rPr>
          <w:rFonts w:hint="eastAsia" w:ascii="楷体" w:hAnsi="楷体" w:eastAsia="楷体" w:cs="楷体"/>
          <w:sz w:val="32"/>
        </w:rPr>
      </w:pPr>
      <w:r>
        <w:rPr>
          <w:rFonts w:hint="eastAsia" w:ascii="楷体" w:hAnsi="楷体" w:eastAsia="楷体" w:cs="楷体"/>
          <w:sz w:val="32"/>
        </w:rPr>
        <w:t>（一）被征收房屋价值和补偿方式</w:t>
      </w:r>
    </w:p>
    <w:p w14:paraId="0B37BBAC">
      <w:pPr>
        <w:snapToGrid w:val="0"/>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rPr>
        <w:t>被征收人可以选择货币补偿，也可以选择房屋产权调换。征收公有住宅房屋，补偿方式由公有房屋承租人选择。</w:t>
      </w:r>
    </w:p>
    <w:p w14:paraId="611809D9">
      <w:pPr>
        <w:snapToGrid w:val="0"/>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被征收房屋和产权调换房屋的价值由该项目评估机构按照《国有土地上房屋征收评估办法》（</w:t>
      </w:r>
      <w:r>
        <w:rPr>
          <w:rFonts w:hint="eastAsia" w:ascii="仿宋_GB2312" w:hAnsi="仿宋_GB2312" w:eastAsia="仿宋_GB2312" w:cs="仿宋_GB2312"/>
          <w:sz w:val="32"/>
          <w:szCs w:val="32"/>
        </w:rPr>
        <w:t>建房〔2011〕77号</w:t>
      </w:r>
      <w:r>
        <w:rPr>
          <w:rFonts w:hint="eastAsia" w:ascii="仿宋_GB2312" w:hAnsi="仿宋_GB2312" w:eastAsia="仿宋_GB2312" w:cs="仿宋_GB2312"/>
          <w:sz w:val="32"/>
        </w:rPr>
        <w:t>）评估确定。</w:t>
      </w:r>
    </w:p>
    <w:p w14:paraId="276B132C">
      <w:pPr>
        <w:snapToGrid w:val="0"/>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1.货币补偿：</w:t>
      </w:r>
    </w:p>
    <w:p w14:paraId="0B53B1C9">
      <w:pPr>
        <w:snapToGrid w:val="0"/>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被征收人、公有房屋承租人选择货币补偿的，房屋征收部门按照被征收房屋价值向被征收人、公有房屋承租人支付货币补偿费。</w:t>
      </w:r>
    </w:p>
    <w:p w14:paraId="334BD60D">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rPr>
        <w:t>被征收房屋价值补偿费＝</w:t>
      </w:r>
      <w:r>
        <w:rPr>
          <w:rFonts w:hint="eastAsia" w:ascii="仿宋_GB2312" w:hAnsi="仿宋_GB2312" w:eastAsia="仿宋_GB2312" w:cs="仿宋_GB2312"/>
          <w:sz w:val="32"/>
          <w:szCs w:val="32"/>
        </w:rPr>
        <w:t>被征收房屋建筑面积（</w:t>
      </w:r>
      <w:r>
        <w:rPr>
          <w:rFonts w:hint="eastAsia" w:ascii="仿宋_GB2312" w:hAnsi="仿宋_GB2312" w:eastAsia="仿宋_GB2312" w:cs="仿宋_GB2312"/>
          <w:sz w:val="32"/>
        </w:rPr>
        <w:t>证载建筑面积＋经认定为合法住宅建筑面积＋经认定为历史遗留未经登记建筑打折后的建筑面积</w:t>
      </w:r>
      <w:r>
        <w:rPr>
          <w:rFonts w:hint="eastAsia" w:ascii="仿宋_GB2312" w:hAnsi="仿宋_GB2312" w:eastAsia="仿宋_GB2312" w:cs="仿宋_GB2312"/>
          <w:sz w:val="32"/>
          <w:szCs w:val="32"/>
        </w:rPr>
        <w:t>）×被征收房屋评估单价。</w:t>
      </w:r>
    </w:p>
    <w:p w14:paraId="105619FF">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2.房屋产权调换：</w:t>
      </w:r>
    </w:p>
    <w:p w14:paraId="73DD9C98">
      <w:pPr>
        <w:spacing w:line="520" w:lineRule="exact"/>
        <w:ind w:firstLine="640" w:firstLineChars="200"/>
        <w:rPr>
          <w:rFonts w:hint="eastAsia" w:ascii="仿宋_GB2312" w:hAnsi="仿宋_GB2312" w:eastAsia="仿宋_GB2312" w:cs="仿宋_GB2312"/>
          <w:color w:val="000000"/>
          <w:sz w:val="32"/>
          <w:shd w:val="pct10" w:color="auto" w:fill="FFFFFF"/>
        </w:rPr>
      </w:pPr>
      <w:r>
        <w:rPr>
          <w:rFonts w:hint="eastAsia" w:ascii="仿宋_GB2312" w:hAnsi="仿宋_GB2312" w:eastAsia="仿宋_GB2312" w:cs="仿宋_GB2312"/>
          <w:sz w:val="32"/>
        </w:rPr>
        <w:t>（1）被征收人、公有房屋承租人选择房屋产权调换的，由房屋征收部门提供用于产权调换的房屋，并与被征收人结算被征收房屋价值与产权调换房屋价值的差价。</w:t>
      </w:r>
    </w:p>
    <w:p w14:paraId="1D8D91B7">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（2）被征收人选择产权调换的，给予建筑面积补助，补助标准为被征收房屋建筑面积的12％。</w:t>
      </w:r>
    </w:p>
    <w:p w14:paraId="1DB824BA">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建筑面积补助费＝被征收房屋建筑面积（证载建筑面积＋经认定为合法住宅建筑面积＋经认定为历史遗留未经登记建筑打折后的建筑面积）×12％×产权调换房结算单价（如产权调换房单价低于被征收房屋评估价，按被征收房屋评估价计算）。</w:t>
      </w:r>
    </w:p>
    <w:p w14:paraId="7551DB3E">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（3）产权调换房选房原则:</w:t>
      </w:r>
    </w:p>
    <w:p w14:paraId="6AA42A16">
      <w:pPr>
        <w:spacing w:line="520" w:lineRule="exact"/>
        <w:ind w:firstLine="640" w:firstLineChars="200"/>
        <w:rPr>
          <w:rFonts w:hint="eastAsia" w:ascii="仿宋_GB2312" w:hAnsi="仿宋_GB2312" w:eastAsia="仿宋_GB2312" w:cs="仿宋_GB2312"/>
          <w:sz w:val="32"/>
          <w:shd w:val="pct10" w:color="auto" w:fill="FFFFFF"/>
        </w:rPr>
      </w:pPr>
      <w:r>
        <w:rPr>
          <w:rFonts w:hint="eastAsia" w:ascii="仿宋_GB2312" w:hAnsi="仿宋_GB2312" w:eastAsia="仿宋_GB2312" w:cs="仿宋_GB2312"/>
          <w:sz w:val="32"/>
        </w:rPr>
        <w:t>征收个人住宅房屋、公有住宅房屋，依据被征收房屋所有权证，按照“一证一套”（产权共有的视为“一证”）选取产权调换房屋，本着先签约、先搬迁、先选房的原则确定选房顺序。</w:t>
      </w:r>
    </w:p>
    <w:p w14:paraId="110FE3AA">
      <w:pPr>
        <w:spacing w:line="520" w:lineRule="exact"/>
        <w:ind w:firstLine="640" w:firstLineChars="200"/>
        <w:rPr>
          <w:rFonts w:hint="eastAsia"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（4）产权调换房源:</w:t>
      </w:r>
    </w:p>
    <w:p w14:paraId="6221181D">
      <w:pPr>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该项目产权调换房源</w:t>
      </w:r>
      <w:bookmarkStart w:id="0" w:name="_Hlk207807616"/>
      <w:r>
        <w:rPr>
          <w:rFonts w:hint="eastAsia" w:ascii="仿宋_GB2312" w:hAnsi="仿宋_GB2312" w:eastAsia="仿宋_GB2312" w:cs="仿宋_GB2312"/>
          <w:sz w:val="32"/>
        </w:rPr>
        <w:t>为城投·秀水青城，位于青山区和平大道与建设十一路交汇处，共</w:t>
      </w:r>
      <w:r>
        <w:rPr>
          <w:rFonts w:ascii="仿宋_GB2312" w:hAnsi="仿宋_GB2312" w:eastAsia="仿宋_GB2312" w:cs="仿宋_GB2312"/>
          <w:sz w:val="32"/>
        </w:rPr>
        <w:t>30</w:t>
      </w:r>
      <w:r>
        <w:rPr>
          <w:rFonts w:hint="eastAsia" w:ascii="仿宋_GB2312" w:hAnsi="仿宋_GB2312" w:eastAsia="仿宋_GB2312" w:cs="仿宋_GB2312"/>
          <w:sz w:val="32"/>
        </w:rPr>
        <w:t>套，户型为三室两厅，建筑面积约为</w:t>
      </w:r>
      <w:r>
        <w:rPr>
          <w:rFonts w:ascii="仿宋_GB2312" w:hAnsi="仿宋_GB2312" w:eastAsia="仿宋_GB2312" w:cs="仿宋_GB2312"/>
          <w:sz w:val="32"/>
        </w:rPr>
        <w:t>106</w:t>
      </w:r>
      <w:r>
        <w:rPr>
          <w:rFonts w:hint="eastAsia" w:ascii="仿宋_GB2312" w:hAnsi="仿宋_GB2312" w:eastAsia="仿宋_GB2312" w:cs="仿宋_GB2312"/>
          <w:sz w:val="32"/>
        </w:rPr>
        <w:t>平方米至1</w:t>
      </w:r>
      <w:r>
        <w:rPr>
          <w:rFonts w:ascii="仿宋_GB2312" w:hAnsi="仿宋_GB2312" w:eastAsia="仿宋_GB2312" w:cs="仿宋_GB2312"/>
          <w:sz w:val="32"/>
        </w:rPr>
        <w:t>34</w:t>
      </w:r>
      <w:r>
        <w:rPr>
          <w:rFonts w:hint="eastAsia" w:ascii="仿宋_GB2312" w:hAnsi="仿宋_GB2312" w:eastAsia="仿宋_GB2312" w:cs="仿宋_GB2312"/>
          <w:sz w:val="32"/>
        </w:rPr>
        <w:t>平方米（最终以房屋管理部门实测为准），现房，交房标准为毛坯房</w:t>
      </w:r>
      <w:bookmarkEnd w:id="0"/>
      <w:r>
        <w:rPr>
          <w:rFonts w:hint="eastAsia" w:ascii="仿宋_GB2312" w:hAnsi="仿宋_GB2312" w:eastAsia="仿宋_GB2312" w:cs="仿宋_GB2312"/>
          <w:sz w:val="32"/>
        </w:rPr>
        <w:t>，结算均价为1</w:t>
      </w:r>
      <w:r>
        <w:rPr>
          <w:rFonts w:ascii="仿宋_GB2312" w:hAnsi="仿宋_GB2312" w:eastAsia="仿宋_GB2312" w:cs="仿宋_GB2312"/>
          <w:sz w:val="32"/>
        </w:rPr>
        <w:t>2800</w:t>
      </w:r>
      <w:r>
        <w:rPr>
          <w:rFonts w:hint="eastAsia" w:ascii="仿宋_GB2312" w:hAnsi="仿宋_GB2312" w:eastAsia="仿宋_GB2312" w:cs="仿宋_GB2312"/>
          <w:sz w:val="32"/>
        </w:rPr>
        <w:t>元/平方米。</w:t>
      </w:r>
    </w:p>
    <w:p w14:paraId="7F2C718D">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项目被征收户安置面积＝被征收房屋建筑面积（证载建筑面积＋经认定为合法住宅建筑面积＋经认定为历史遗留未经登记建筑打折后的建筑面积）＋被征收房屋建筑面积（证载建筑面积＋经认定为合法住宅建筑面积＋经认定为历史遗留未经登记建筑打折后的建筑面积）×12%，安置面积就近靠档。</w:t>
      </w:r>
    </w:p>
    <w:p w14:paraId="3E101029">
      <w:pPr>
        <w:spacing w:line="520" w:lineRule="exact"/>
        <w:ind w:firstLine="640" w:firstLineChars="200"/>
        <w:rPr>
          <w:rFonts w:hint="eastAsia" w:ascii="Calibri" w:hAnsi="Calibri" w:eastAsia="仿宋_GB2312" w:cs="Calibri"/>
          <w:sz w:val="32"/>
        </w:rPr>
      </w:pPr>
      <w:r>
        <w:rPr>
          <w:rFonts w:hint="eastAsia" w:ascii="仿宋_GB2312" w:hAnsi="宋体" w:eastAsia="仿宋_GB2312"/>
          <w:sz w:val="32"/>
        </w:rPr>
        <w:t>（5）房</w:t>
      </w:r>
      <w:r>
        <w:rPr>
          <w:rFonts w:hint="eastAsia" w:ascii="仿宋_GB2312" w:hAnsi="宋体" w:eastAsia="仿宋_GB2312"/>
          <w:spacing w:val="-6"/>
          <w:sz w:val="32"/>
        </w:rPr>
        <w:t>屋</w:t>
      </w:r>
      <w:r>
        <w:rPr>
          <w:rFonts w:hint="eastAsia" w:ascii="仿宋_GB2312" w:hAnsi="宋体" w:eastAsia="仿宋_GB2312"/>
          <w:spacing w:val="-11"/>
          <w:sz w:val="32"/>
        </w:rPr>
        <w:t>征收部门根据征收工作实际需要可提供其他的房源。</w:t>
      </w:r>
    </w:p>
    <w:p w14:paraId="4CB0F75E">
      <w:pPr>
        <w:widowControl/>
        <w:tabs>
          <w:tab w:val="right" w:pos="8730"/>
        </w:tabs>
        <w:spacing w:line="520" w:lineRule="exact"/>
        <w:ind w:firstLine="640" w:firstLineChars="200"/>
        <w:rPr>
          <w:rFonts w:hint="eastAsia" w:ascii="仿宋_GB2312" w:hAnsi="仿宋_GB2312" w:eastAsia="仿宋_GB2312" w:cs="仿宋_GB2312"/>
          <w:sz w:val="32"/>
        </w:rPr>
      </w:pPr>
      <w:r>
        <w:rPr>
          <w:rFonts w:hint="eastAsia" w:ascii="楷体" w:hAnsi="楷体" w:eastAsia="楷体" w:cs="楷体"/>
          <w:sz w:val="32"/>
        </w:rPr>
        <w:t>（二）直管、自管公有住宅房屋补偿</w:t>
      </w:r>
    </w:p>
    <w:p w14:paraId="182DB45A">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14:paraId="471007E7">
      <w:pPr>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1.公有房屋承租人选择货币补偿：</w:t>
      </w:r>
    </w:p>
    <w:p w14:paraId="2F5DCBDE">
      <w:pPr>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公有房屋承租人选择货币补偿的，租赁关系终止，对被征收人按被征收房屋价值补偿费的10％给予补偿，对公有房屋承租人（凭《武汉市公有房屋住宅租约》或产权单位确权证明）按被征收房屋价值补偿费的90％给予补偿。房屋征收部门与被征收人、公有房屋承租人分别签订房屋征收补偿协议。</w:t>
      </w:r>
    </w:p>
    <w:p w14:paraId="7A4852DC">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2.公有房屋承租人选择房屋产权调换：</w:t>
      </w:r>
    </w:p>
    <w:p w14:paraId="7431AABE">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公有房屋承租人选择房屋产权调换的，房屋征收部门与被征收人签订房屋产权调换协议，被征收人与公有房屋承租人签订房屋租赁协议，继续保持租赁关系。</w:t>
      </w:r>
    </w:p>
    <w:p w14:paraId="30D46728">
      <w:pPr>
        <w:spacing w:line="520" w:lineRule="exact"/>
        <w:ind w:firstLine="640" w:firstLineChars="200"/>
        <w:rPr>
          <w:rFonts w:hint="eastAsia" w:ascii="楷体" w:hAnsi="楷体" w:eastAsia="楷体" w:cs="楷体"/>
          <w:sz w:val="32"/>
        </w:rPr>
      </w:pPr>
      <w:r>
        <w:rPr>
          <w:rFonts w:hint="eastAsia" w:ascii="楷体" w:hAnsi="楷体" w:eastAsia="楷体" w:cs="楷体"/>
          <w:sz w:val="32"/>
        </w:rPr>
        <w:t>（三）搬迁补偿</w:t>
      </w:r>
    </w:p>
    <w:p w14:paraId="6FED17D6">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给予被征收人、公有房屋承租人搬迁费1600元/户。</w:t>
      </w:r>
    </w:p>
    <w:p w14:paraId="050DFE9F">
      <w:pPr>
        <w:spacing w:line="520" w:lineRule="exact"/>
        <w:ind w:firstLine="640" w:firstLineChars="200"/>
        <w:rPr>
          <w:rFonts w:hint="eastAsia" w:ascii="楷体" w:hAnsi="楷体" w:eastAsia="楷体" w:cs="楷体"/>
          <w:sz w:val="32"/>
        </w:rPr>
      </w:pPr>
      <w:r>
        <w:rPr>
          <w:rFonts w:hint="eastAsia" w:ascii="楷体" w:hAnsi="楷体" w:eastAsia="楷体" w:cs="楷体"/>
          <w:sz w:val="32"/>
        </w:rPr>
        <w:t>（四）住宅房屋临时安置补偿</w:t>
      </w:r>
    </w:p>
    <w:p w14:paraId="64449A95">
      <w:pPr>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临时安置补偿费由选定的房地产价格评估机构按照被征收房屋类似房地产市场租赁价格评估确定，评估时点为房屋征收决定公告之日。</w:t>
      </w:r>
    </w:p>
    <w:p w14:paraId="1FD3FB24">
      <w:pPr>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被征收人、公有房屋承租人选择货币补偿的，一次性支付被征收人或者公有房屋承租人3个月临时安置补偿费。</w:t>
      </w:r>
    </w:p>
    <w:p w14:paraId="6ABFBC83">
      <w:pPr>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被征收人、公有房屋承租人选择产权调换的，其临时安置补偿费从被征收人签约搬迁腾退之日起至产权调换房屋交付时止。签署补偿协议时约定过渡期限，并按约定的过渡期限预付临时安置补偿费，交房时多退少补。超过补偿协议约定的过渡期限，产权调换房屋还未交付的，房屋征收部门按照增加50％的标准支付临时安置补偿费。</w:t>
      </w:r>
    </w:p>
    <w:p w14:paraId="7BBA0C75">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征收个人住宅房屋，被征收房屋建筑面积（证载建筑面积＋经认定为合法住宅建筑面积＋经认定为历史遗留未经登记建筑打折后的建筑面积）不足60平方米的，按照建筑面积60平方米计算临时安置补偿费。</w:t>
      </w:r>
    </w:p>
    <w:p w14:paraId="6854A5A3">
      <w:pPr>
        <w:spacing w:line="520" w:lineRule="exact"/>
        <w:ind w:firstLine="640" w:firstLineChars="200"/>
        <w:rPr>
          <w:rFonts w:hint="eastAsia" w:ascii="楷体" w:hAnsi="楷体" w:eastAsia="楷体" w:cs="楷体"/>
          <w:sz w:val="32"/>
        </w:rPr>
      </w:pPr>
      <w:r>
        <w:rPr>
          <w:rFonts w:hint="eastAsia" w:ascii="楷体" w:hAnsi="楷体" w:eastAsia="楷体" w:cs="楷体"/>
          <w:sz w:val="32"/>
        </w:rPr>
        <w:t>（五）各项补助</w:t>
      </w:r>
    </w:p>
    <w:p w14:paraId="61E3C823">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1.保底面积补助：</w:t>
      </w:r>
    </w:p>
    <w:p w14:paraId="1CED9274">
      <w:pPr>
        <w:spacing w:line="520" w:lineRule="exact"/>
        <w:ind w:firstLine="640" w:firstLineChars="200"/>
        <w:rPr>
          <w:rFonts w:hint="eastAsia" w:ascii="仿宋_GB2312" w:hAnsi="宋体" w:eastAsia="仿宋_GB2312"/>
          <w:sz w:val="32"/>
        </w:rPr>
      </w:pPr>
      <w:r>
        <w:rPr>
          <w:rFonts w:hint="eastAsia" w:ascii="仿宋_GB2312" w:hAnsi="宋体" w:eastAsia="仿宋_GB2312"/>
          <w:sz w:val="32"/>
        </w:rPr>
        <w:t>征收个人住宅，证载建筑面积不足40平方米（涉及房屋所有权、公有房屋承租权共有的，房屋建筑面积合并计算），且为被征收人、公有房屋承租人唯一住房的，按照40平方米给予征收补偿。</w:t>
      </w:r>
    </w:p>
    <w:p w14:paraId="67AA34D0">
      <w:pPr>
        <w:spacing w:line="520" w:lineRule="exact"/>
        <w:ind w:firstLine="640" w:firstLineChars="200"/>
        <w:rPr>
          <w:rFonts w:hint="eastAsia" w:ascii="仿宋_GB2312" w:hAnsi="宋体" w:eastAsia="仿宋_GB2312"/>
          <w:sz w:val="32"/>
        </w:rPr>
      </w:pPr>
      <w:r>
        <w:rPr>
          <w:rFonts w:hint="eastAsia" w:ascii="仿宋_GB2312" w:hAnsi="宋体" w:eastAsia="仿宋_GB2312"/>
          <w:sz w:val="32"/>
        </w:rPr>
        <w:t>公有房屋承租人符合前款条件的，超出被征收房屋建筑面积部分的货币补偿款由房屋征收部门全部支付给公有房屋承租人。</w:t>
      </w:r>
    </w:p>
    <w:p w14:paraId="12F41145">
      <w:pPr>
        <w:spacing w:line="52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2</w:t>
      </w:r>
      <w:r>
        <w:rPr>
          <w:rFonts w:hint="eastAsia" w:ascii="仿宋_GB2312" w:hAnsi="仿宋_GB2312" w:eastAsia="仿宋_GB2312" w:cs="仿宋_GB2312"/>
          <w:sz w:val="32"/>
        </w:rPr>
        <w:t>.个人住宅房屋生活困难补助</w:t>
      </w:r>
    </w:p>
    <w:p w14:paraId="6A8ADADC">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（1）低保困难补助：</w:t>
      </w:r>
    </w:p>
    <w:p w14:paraId="78D10DA2">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被征收人、公有房屋承租人或其法定被监护人、直系亲属已纳入本市城市居民最低生活保障户，按20000元/户给予一次性补助。</w:t>
      </w:r>
    </w:p>
    <w:p w14:paraId="1255AB0F">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（2）重症患者困难补助：</w:t>
      </w:r>
    </w:p>
    <w:p w14:paraId="7F8B25EA">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被征收人、公有房屋承租人或其法定被监护人、直系亲属经本市社保部门认定为重症患者，按10000元/人给予一次性补助。</w:t>
      </w:r>
    </w:p>
    <w:p w14:paraId="3023C443">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（3）残疾困难补助：</w:t>
      </w:r>
    </w:p>
    <w:p w14:paraId="70AA01B1">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被征收人、公有房屋承租人或其法定被监护人、直系亲属持有省（市）残联核发的残疾证，按20000元/人给予一次性补助。同时对残疾人家庭搬迁费增加50％、临时安置费增加20％。</w:t>
      </w:r>
    </w:p>
    <w:p w14:paraId="7F1EDC0D">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被征收人或公有房屋承租人如符合上述低保、重症、残疾三项补助条件中的多项，困难补助可累加计算，但每户最高不超过5万元。</w:t>
      </w:r>
    </w:p>
    <w:p w14:paraId="24F3CFAB">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（4）失独家庭困难补助：</w:t>
      </w:r>
    </w:p>
    <w:p w14:paraId="2D31A7A9">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被征收户系失独家庭的，由所在社区出具证明，经街道计生部门复核后，按10000元/户给予一次性补助。</w:t>
      </w:r>
    </w:p>
    <w:p w14:paraId="1DDFEB10">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以上直系亲属系指被征收人、公有房屋承租人的配偶、子女和父母（含配偶父母）。</w:t>
      </w:r>
    </w:p>
    <w:p w14:paraId="61D8A9B5">
      <w:pPr>
        <w:spacing w:line="52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3</w:t>
      </w:r>
      <w:r>
        <w:rPr>
          <w:rFonts w:hint="eastAsia" w:ascii="仿宋_GB2312" w:hAnsi="仿宋_GB2312" w:eastAsia="仿宋_GB2312" w:cs="仿宋_GB2312"/>
          <w:sz w:val="32"/>
        </w:rPr>
        <w:t>.个人住房困难补助</w:t>
      </w:r>
    </w:p>
    <w:p w14:paraId="2C2524FB">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征收个人住宅或者公有住宅房屋，建筑面积（证载建筑面积＋经认定为合法住宅建筑面积＋经认定为历史遗留未经登记</w:t>
      </w:r>
      <w:r>
        <w:rPr>
          <w:rFonts w:hint="eastAsia" w:ascii="仿宋_GB2312" w:hAnsi="仿宋_GB2312" w:eastAsia="仿宋_GB2312" w:cs="仿宋_GB2312"/>
          <w:sz w:val="32"/>
          <w:szCs w:val="32"/>
        </w:rPr>
        <w:t>建筑</w:t>
      </w:r>
      <w:r>
        <w:rPr>
          <w:rFonts w:hint="eastAsia" w:ascii="仿宋_GB2312" w:hAnsi="仿宋_GB2312" w:eastAsia="仿宋_GB2312" w:cs="仿宋_GB2312"/>
          <w:sz w:val="32"/>
        </w:rPr>
        <w:t>打折后的建筑面积）不足60平方米（涉及到房屋所有权、承租权共有的房屋建筑面积合并计算）且为被征收人、公有房屋承租人唯一住房，被征收人、公有房屋承租人选择货币补偿的，可以给予住房困难补助。补助标准为：建筑面积为40平方米以下（含40平方米）的，按被征收房屋价值的10%给予补助，建筑面积每增加1个平方米，补助标准降低0.5%。</w:t>
      </w:r>
    </w:p>
    <w:p w14:paraId="771DF291">
      <w:pPr>
        <w:spacing w:line="52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4</w:t>
      </w:r>
      <w:r>
        <w:rPr>
          <w:rFonts w:hint="eastAsia" w:ascii="仿宋_GB2312" w:hAnsi="仿宋_GB2312" w:eastAsia="仿宋_GB2312" w:cs="仿宋_GB2312"/>
          <w:sz w:val="32"/>
        </w:rPr>
        <w:t>.个人住宅房屋改变用途的补助</w:t>
      </w:r>
    </w:p>
    <w:p w14:paraId="56B8A7B8">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征收个人住宅，被征收人、公有房屋承租人自行改变房屋用途作为生产经营性用房使用的，应当按照住宅房屋给予征收补偿。在《武汉市国有土地上房屋征收与补偿实施办法》公布前（即2012年12月3日前），住宅已作为商业门面（系指用于商业经营的一楼门面）使用，且以该住宅为注册地址办理了工商营业执照的，对其实际用于经营面积部分（具有相应资质的测绘单位实测确定）给予补助，补助标准为同地段类似商业门面与被征收住宅房屋市场评估价格差额的50％。</w:t>
      </w:r>
    </w:p>
    <w:p w14:paraId="01C0412E">
      <w:pPr>
        <w:snapToGrid w:val="0"/>
        <w:spacing w:line="520" w:lineRule="exact"/>
        <w:ind w:firstLine="640" w:firstLineChars="200"/>
        <w:rPr>
          <w:rFonts w:hint="eastAsia" w:ascii="黑体" w:hAnsi="宋体" w:eastAsia="黑体"/>
          <w:sz w:val="32"/>
        </w:rPr>
      </w:pPr>
      <w:r>
        <w:rPr>
          <w:rFonts w:hint="eastAsia" w:ascii="黑体" w:hAnsi="宋体" w:eastAsia="黑体"/>
          <w:sz w:val="32"/>
        </w:rPr>
        <w:t>四、非住宅房屋的补偿</w:t>
      </w:r>
    </w:p>
    <w:p w14:paraId="3E382859">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（一）补偿方式和被征收房屋价值补偿</w:t>
      </w:r>
    </w:p>
    <w:p w14:paraId="10CAF40A">
      <w:pPr>
        <w:snapToGrid w:val="0"/>
        <w:spacing w:line="520" w:lineRule="exact"/>
        <w:ind w:firstLine="640" w:firstLineChars="200"/>
        <w:contextualSpacing/>
        <w:rPr>
          <w:rFonts w:ascii="仿宋_GB2312" w:hAnsi="仿宋_GB2312" w:eastAsia="仿宋_GB2312" w:cs="仿宋_GB2312"/>
          <w:sz w:val="32"/>
        </w:rPr>
      </w:pPr>
      <w:r>
        <w:rPr>
          <w:rFonts w:hint="eastAsia" w:ascii="仿宋_GB2312" w:hAnsi="仿宋_GB2312" w:eastAsia="仿宋_GB2312" w:cs="仿宋_GB2312"/>
          <w:sz w:val="32"/>
        </w:rPr>
        <w:t>被征收人可以选择货币补偿，也可以选择房屋产权调换。</w:t>
      </w:r>
    </w:p>
    <w:p w14:paraId="27659C3E">
      <w:pPr>
        <w:snapToGrid w:val="0"/>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被征收房屋和产权调换房屋的价值由依法选定的房地产价格评估机构按照评估办法评估，并结合被征收房屋证载建筑面积和用途确定，评估时点为房屋征收决定公告之日。</w:t>
      </w:r>
    </w:p>
    <w:p w14:paraId="77CD086C">
      <w:pPr>
        <w:snapToGrid w:val="0"/>
        <w:spacing w:line="520" w:lineRule="exact"/>
        <w:ind w:firstLine="640" w:firstLineChars="200"/>
        <w:contextualSpacing/>
        <w:rPr>
          <w:rFonts w:ascii="仿宋_GB2312" w:hAnsi="华文仿宋" w:eastAsia="仿宋_GB2312"/>
          <w:sz w:val="32"/>
          <w:szCs w:val="32"/>
        </w:rPr>
      </w:pPr>
      <w:r>
        <w:rPr>
          <w:rFonts w:hint="eastAsia" w:ascii="仿宋_GB2312" w:hAnsi="宋体" w:eastAsia="仿宋_GB2312"/>
          <w:sz w:val="32"/>
        </w:rPr>
        <w:t>被征收房屋价值补偿费＝</w:t>
      </w:r>
      <w:r>
        <w:rPr>
          <w:rFonts w:hint="eastAsia" w:ascii="仿宋_GB2312" w:hAnsi="华文仿宋" w:eastAsia="仿宋_GB2312"/>
          <w:sz w:val="32"/>
          <w:szCs w:val="32"/>
        </w:rPr>
        <w:t>被征收房屋证载建筑面积×被征收房屋评估单价。</w:t>
      </w:r>
    </w:p>
    <w:p w14:paraId="43E7A987">
      <w:pPr>
        <w:spacing w:line="51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1.货币补偿：</w:t>
      </w:r>
    </w:p>
    <w:p w14:paraId="5FDC010C">
      <w:pPr>
        <w:spacing w:line="518" w:lineRule="exact"/>
        <w:ind w:firstLine="640" w:firstLineChars="200"/>
        <w:rPr>
          <w:rFonts w:hint="eastAsia" w:ascii="仿宋_GB2312" w:hAnsi="仿宋_GB2312" w:eastAsia="仿宋_GB2312" w:cs="仿宋_GB2312"/>
          <w:spacing w:val="-6"/>
          <w:sz w:val="32"/>
        </w:rPr>
      </w:pPr>
      <w:r>
        <w:rPr>
          <w:rFonts w:hint="eastAsia" w:ascii="仿宋_GB2312" w:hAnsi="仿宋_GB2312" w:eastAsia="仿宋_GB2312" w:cs="仿宋_GB2312"/>
          <w:sz w:val="32"/>
        </w:rPr>
        <w:t>被征收人</w:t>
      </w:r>
      <w:r>
        <w:rPr>
          <w:rFonts w:hint="eastAsia" w:ascii="仿宋_GB2312" w:hAnsi="仿宋_GB2312" w:eastAsia="仿宋_GB2312" w:cs="仿宋_GB2312"/>
          <w:spacing w:val="-6"/>
          <w:sz w:val="32"/>
        </w:rPr>
        <w:t>选择货币补偿的，房屋征收部门按被征收房屋价值向被征收人、公有房屋承租人支付货币补偿费。</w:t>
      </w:r>
    </w:p>
    <w:p w14:paraId="1F479425">
      <w:pPr>
        <w:spacing w:line="51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2.房屋产权调换：</w:t>
      </w:r>
    </w:p>
    <w:p w14:paraId="34464A15">
      <w:pPr>
        <w:spacing w:line="518"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（1）被征收人选择房屋产权调换的，由房屋征收部门提供用于产权调换的房屋，并与被征收人结算被征收房屋价值与产权调换房屋价值的差价。</w:t>
      </w:r>
    </w:p>
    <w:p w14:paraId="4F6762F5">
      <w:pPr>
        <w:spacing w:line="518"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（2）非住宅产权调换房源：</w:t>
      </w:r>
    </w:p>
    <w:p w14:paraId="4FB23D77">
      <w:pPr>
        <w:spacing w:line="51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非住宅产权调换房（办公）位于招商</w:t>
      </w:r>
      <w:r>
        <w:rPr>
          <w:rFonts w:hint="eastAsia" w:ascii="微软雅黑" w:hAnsi="微软雅黑" w:eastAsia="微软雅黑" w:cs="微软雅黑"/>
          <w:sz w:val="32"/>
        </w:rPr>
        <w:t>·</w:t>
      </w:r>
      <w:r>
        <w:rPr>
          <w:rFonts w:hint="eastAsia" w:ascii="仿宋_GB2312" w:hAnsi="仿宋_GB2312" w:eastAsia="仿宋_GB2312" w:cs="仿宋_GB2312"/>
          <w:sz w:val="32"/>
        </w:rPr>
        <w:t>一江</w:t>
      </w:r>
      <w:r>
        <w:rPr>
          <w:rFonts w:hint="eastAsia" w:ascii="仿宋" w:hAnsi="仿宋" w:eastAsia="仿宋" w:cs="微软雅黑"/>
          <w:sz w:val="32"/>
        </w:rPr>
        <w:t>璟</w:t>
      </w:r>
      <w:r>
        <w:rPr>
          <w:rFonts w:hint="eastAsia" w:ascii="仿宋_GB2312" w:hAnsi="微软雅黑" w:eastAsia="仿宋_GB2312" w:cs="微软雅黑"/>
          <w:sz w:val="32"/>
        </w:rPr>
        <w:t>城，现房，交房标准为毛坯。</w:t>
      </w:r>
    </w:p>
    <w:p w14:paraId="64689535">
      <w:pPr>
        <w:snapToGrid w:val="0"/>
        <w:spacing w:line="52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rPr>
        <w:t>（二）直管、自管公有非住宅房屋补偿</w:t>
      </w:r>
    </w:p>
    <w:p w14:paraId="29A6B831">
      <w:pPr>
        <w:snapToGrid w:val="0"/>
        <w:spacing w:line="520" w:lineRule="exact"/>
        <w:ind w:firstLine="640" w:firstLineChars="200"/>
        <w:contextualSpacing/>
        <w:rPr>
          <w:rStyle w:val="12"/>
          <w:rFonts w:hint="eastAsia" w:ascii="仿宋_GB2312" w:hAnsi="仿宋_GB2312" w:eastAsia="仿宋_GB2312" w:cs="仿宋_GB2312"/>
          <w:sz w:val="32"/>
          <w:szCs w:val="32"/>
          <w:shd w:val="clear" w:color="auto" w:fill="FFFFFF"/>
        </w:rPr>
      </w:pPr>
      <w:r>
        <w:rPr>
          <w:rStyle w:val="12"/>
          <w:rFonts w:hint="eastAsia" w:ascii="仿宋_GB2312" w:hAnsi="仿宋_GB2312" w:eastAsia="仿宋_GB2312" w:cs="仿宋_GB2312"/>
          <w:sz w:val="32"/>
          <w:szCs w:val="32"/>
          <w:shd w:val="clear" w:color="auto" w:fill="FFFFFF"/>
        </w:rPr>
        <w:t>被征收人选择货币补偿的，租赁关系终止，房屋征收部门对被征收人按被征收房屋价值补偿费的30％予以补偿，对公有房屋承租人按被征收房屋价值补偿费的70％予以补偿。</w:t>
      </w:r>
    </w:p>
    <w:p w14:paraId="33A2EF75">
      <w:pPr>
        <w:snapToGrid w:val="0"/>
        <w:spacing w:line="520" w:lineRule="exact"/>
        <w:ind w:firstLine="640" w:firstLineChars="200"/>
        <w:contextualSpacing/>
        <w:rPr>
          <w:rStyle w:val="12"/>
          <w:rFonts w:hint="eastAsia" w:ascii="仿宋_GB2312" w:hAnsi="仿宋_GB2312" w:eastAsia="仿宋_GB2312" w:cs="仿宋_GB2312"/>
          <w:sz w:val="32"/>
          <w:szCs w:val="32"/>
          <w:shd w:val="clear" w:color="auto" w:fill="FFFFFF"/>
        </w:rPr>
      </w:pPr>
      <w:r>
        <w:rPr>
          <w:rStyle w:val="12"/>
          <w:rFonts w:hint="eastAsia" w:ascii="仿宋_GB2312" w:hAnsi="仿宋_GB2312" w:eastAsia="仿宋_GB2312" w:cs="仿宋_GB2312"/>
          <w:sz w:val="32"/>
          <w:szCs w:val="32"/>
          <w:shd w:val="clear" w:color="auto" w:fill="FFFFFF"/>
        </w:rPr>
        <w:t>被征收人选择房屋产权调换的，</w:t>
      </w:r>
      <w:r>
        <w:rPr>
          <w:rFonts w:hint="eastAsia" w:ascii="仿宋_GB2312" w:hAnsi="仿宋_GB2312" w:eastAsia="仿宋_GB2312" w:cs="仿宋_GB2312"/>
          <w:sz w:val="32"/>
          <w:szCs w:val="32"/>
        </w:rPr>
        <w:t>房屋征收部门与被征收人签订房屋产权调换协议，</w:t>
      </w:r>
      <w:r>
        <w:rPr>
          <w:rStyle w:val="12"/>
          <w:rFonts w:hint="eastAsia" w:ascii="仿宋_GB2312" w:hAnsi="仿宋_GB2312" w:eastAsia="仿宋_GB2312" w:cs="仿宋_GB2312"/>
          <w:sz w:val="32"/>
          <w:szCs w:val="32"/>
          <w:shd w:val="clear" w:color="auto" w:fill="FFFFFF"/>
        </w:rPr>
        <w:t>产权调换房屋由原公有房屋承租人承租，被征收人应与原公有房屋承租人重新订立房屋租赁合同。</w:t>
      </w:r>
    </w:p>
    <w:p w14:paraId="3CDEE812">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（三）设备搬迁补偿</w:t>
      </w:r>
    </w:p>
    <w:p w14:paraId="0AAA9678">
      <w:pPr>
        <w:snapToGrid w:val="0"/>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非住宅房屋可恢复使用的设备搬迁补偿费，参照同期市场价格，并经选定的房地产价格评估机构评估确定。选择产权调换的，按评估确定的搬迁补偿费双倍计算。</w:t>
      </w:r>
    </w:p>
    <w:p w14:paraId="16904171">
      <w:pPr>
        <w:snapToGrid w:val="0"/>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对无法恢复使用的设备，按购置价扣除折旧后，由选定的房地产价格评估机构评估计算一次性费用。</w:t>
      </w:r>
    </w:p>
    <w:p w14:paraId="19ADD5C9">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（四）临时安置补偿</w:t>
      </w:r>
    </w:p>
    <w:p w14:paraId="2B5D5203">
      <w:pPr>
        <w:snapToGrid w:val="0"/>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征收办公用房及其他非生产经营性用房，选择房屋产权调换的，产权调换房屋交付前，房屋征收部门应当支付临时安置补偿费。选择货币补偿的，一次性支付被征收人或者公有房屋承租人3个月的临时安置补偿费。</w:t>
      </w:r>
    </w:p>
    <w:p w14:paraId="2AFFE5CA">
      <w:pPr>
        <w:snapToGrid w:val="0"/>
        <w:spacing w:line="520" w:lineRule="exact"/>
        <w:ind w:firstLine="640" w:firstLineChars="200"/>
        <w:rPr>
          <w:rFonts w:hint="eastAsia" w:ascii="仿宋_GB2312" w:hAnsi="仿宋_GB2312" w:eastAsia="仿宋_GB2312" w:cs="仿宋_GB2312"/>
          <w:sz w:val="32"/>
          <w:shd w:val="pct10" w:color="auto" w:fill="FFFFFF"/>
        </w:rPr>
      </w:pPr>
      <w:r>
        <w:rPr>
          <w:rFonts w:hint="eastAsia" w:ascii="仿宋_GB2312" w:hAnsi="仿宋_GB2312" w:eastAsia="仿宋_GB2312" w:cs="仿宋_GB2312"/>
          <w:sz w:val="32"/>
        </w:rPr>
        <w:t>临时安置补偿费由选定的房地产价格评估机构按照被征收房屋类似房地产市场租赁价格评估确定，评估时点为房屋征收决定公告之日。</w:t>
      </w:r>
    </w:p>
    <w:p w14:paraId="70CA8BB0">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（五）停产停业损失补偿</w:t>
      </w:r>
    </w:p>
    <w:p w14:paraId="119466EC">
      <w:pPr>
        <w:snapToGrid w:val="0"/>
        <w:spacing w:line="520" w:lineRule="exact"/>
        <w:ind w:firstLine="640" w:firstLineChars="200"/>
        <w:rPr>
          <w:rFonts w:hint="eastAsia" w:ascii="仿宋_GB2312" w:hAnsi="宋体" w:eastAsia="仿宋_GB2312"/>
          <w:sz w:val="32"/>
        </w:rPr>
      </w:pPr>
      <w:r>
        <w:rPr>
          <w:rFonts w:hint="eastAsia" w:ascii="仿宋_GB2312" w:hAnsi="宋体" w:eastAsia="仿宋_GB2312"/>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5％的补偿。</w:t>
      </w:r>
    </w:p>
    <w:p w14:paraId="55F2E1F2">
      <w:pPr>
        <w:snapToGrid w:val="0"/>
        <w:spacing w:line="520" w:lineRule="exact"/>
        <w:ind w:firstLine="640" w:firstLineChars="200"/>
        <w:rPr>
          <w:rFonts w:hint="eastAsia" w:ascii="仿宋_GB2312" w:hAnsi="仿宋_GB2312" w:eastAsia="仿宋_GB2312" w:cs="仿宋_GB2312"/>
          <w:sz w:val="32"/>
        </w:rPr>
      </w:pPr>
      <w:r>
        <w:rPr>
          <w:rFonts w:hint="eastAsia" w:ascii="仿宋_GB2312" w:hAnsi="宋体" w:eastAsia="仿宋_GB2312"/>
          <w:sz w:val="32"/>
        </w:rPr>
        <w:t>被征收人或者公有房屋承租人认为其停产停业损失超过被征收房屋价值5％的，应向房屋征收部门提供房屋被征收前3年的效益情况等证明材料，由该项目选定的房地产价格评估机构对停产停业损失进行评估，并按评估结果予以补偿。</w:t>
      </w:r>
      <w:r>
        <w:rPr>
          <w:rFonts w:hint="eastAsia" w:ascii="仿宋_GB2312" w:hAnsi="仿宋_GB2312" w:eastAsia="仿宋_GB2312" w:cs="仿宋_GB2312"/>
          <w:sz w:val="32"/>
        </w:rPr>
        <w:t>选择货币补偿的，停产停业期限按照6个月计算，</w:t>
      </w:r>
      <w:bookmarkStart w:id="1" w:name="_Hlk207981457"/>
      <w:r>
        <w:rPr>
          <w:rFonts w:hint="eastAsia" w:ascii="仿宋_GB2312" w:hAnsi="仿宋_GB2312" w:eastAsia="仿宋_GB2312" w:cs="仿宋_GB2312"/>
          <w:sz w:val="32"/>
        </w:rPr>
        <w:t>选择产权调换的</w:t>
      </w:r>
      <w:bookmarkStart w:id="2" w:name="_Hlk207981437"/>
      <w:r>
        <w:rPr>
          <w:rFonts w:hint="eastAsia" w:ascii="仿宋_GB2312" w:hAnsi="仿宋_GB2312" w:eastAsia="仿宋_GB2312" w:cs="仿宋_GB2312"/>
          <w:sz w:val="32"/>
        </w:rPr>
        <w:t>，</w:t>
      </w:r>
      <w:bookmarkEnd w:id="1"/>
      <w:r>
        <w:rPr>
          <w:rFonts w:hint="eastAsia" w:ascii="仿宋_GB2312" w:hAnsi="仿宋_GB2312" w:eastAsia="仿宋_GB2312" w:cs="仿宋_GB2312"/>
          <w:sz w:val="32"/>
        </w:rPr>
        <w:t>停产停业期限按照过渡安置期限计算。</w:t>
      </w:r>
      <w:bookmarkEnd w:id="2"/>
    </w:p>
    <w:p w14:paraId="0F76A87E">
      <w:pPr>
        <w:spacing w:line="520" w:lineRule="exact"/>
        <w:ind w:firstLine="640" w:firstLineChars="200"/>
        <w:rPr>
          <w:rFonts w:hint="eastAsia" w:ascii="楷体" w:hAnsi="楷体" w:eastAsia="楷体" w:cs="楷体"/>
          <w:sz w:val="32"/>
        </w:rPr>
      </w:pPr>
      <w:r>
        <w:rPr>
          <w:rFonts w:hint="eastAsia" w:ascii="楷体" w:hAnsi="楷体" w:eastAsia="楷体" w:cs="楷体"/>
          <w:sz w:val="32"/>
        </w:rPr>
        <w:t>（六）非住宅房屋改变用途的补助</w:t>
      </w:r>
    </w:p>
    <w:p w14:paraId="2C0A57B8">
      <w:pPr>
        <w:spacing w:line="52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在《武汉市国有土地上房屋征收与补偿实施办法》公布前（即2012年12月3日前），对被征收人、公有房屋承租人改变非住宅房屋用途已作为商业门面（系指用于商业经营的一楼门面）使用，且以该房屋为注册地址办理了工商营业执照的，除按照原房屋证载用途予以补偿之外，若改变用途部分房屋实际价值高于原房屋证载用途价值的，对其实际用于经营面积部分（具有相应资质的测绘单位实测确定），可以根据经营情况、经营年限及纳税等实际情况给予补助，补助标准为两者价差的30%。</w:t>
      </w:r>
    </w:p>
    <w:p w14:paraId="17944768">
      <w:pPr>
        <w:snapToGrid w:val="0"/>
        <w:spacing w:line="520" w:lineRule="exact"/>
        <w:ind w:firstLine="640" w:firstLineChars="200"/>
        <w:rPr>
          <w:rFonts w:hint="eastAsia" w:ascii="黑体" w:hAnsi="黑体" w:eastAsia="黑体" w:cs="黑体"/>
          <w:sz w:val="32"/>
        </w:rPr>
      </w:pPr>
      <w:r>
        <w:rPr>
          <w:rFonts w:hint="eastAsia" w:ascii="黑体" w:hAnsi="黑体" w:eastAsia="黑体" w:cs="黑体"/>
          <w:sz w:val="32"/>
        </w:rPr>
        <w:t>五、房屋附属设施补偿</w:t>
      </w:r>
    </w:p>
    <w:p w14:paraId="6B564720">
      <w:pPr>
        <w:snapToGrid w:val="0"/>
        <w:spacing w:line="52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（一）室内装饰装修补偿</w:t>
      </w:r>
    </w:p>
    <w:p w14:paraId="223B90D3">
      <w:pPr>
        <w:snapToGrid w:val="0"/>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房屋室内自行装修的补偿，补偿费在400元/平方米以内（含400元/平方米）的，由房屋征收部门和被征收人、公有房屋承租人协商确定，协商不成或标准超过400元/平方米的，委托该项目依法选定的房地产价格评估机构评估确定。</w:t>
      </w:r>
    </w:p>
    <w:p w14:paraId="51C99ECC">
      <w:pPr>
        <w:snapToGrid w:val="0"/>
        <w:spacing w:line="52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（二）自行封闭阳台和搭建的夹层、假层、暗楼、无烟灶台、吊脚楼、外挑等的补偿</w:t>
      </w:r>
    </w:p>
    <w:p w14:paraId="5D3C4857">
      <w:pPr>
        <w:spacing w:line="160" w:lineRule="exact"/>
        <w:rPr>
          <w:rFonts w:hint="eastAsia" w:ascii="仿宋_GB2312" w:hAnsi="仿宋_GB2312" w:eastAsia="仿宋_GB2312" w:cs="仿宋_GB2312"/>
          <w:sz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430"/>
        <w:gridCol w:w="2225"/>
        <w:gridCol w:w="2514"/>
      </w:tblGrid>
      <w:tr w14:paraId="04EA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125" w:type="dxa"/>
            <w:gridSpan w:val="2"/>
            <w:noWrap w:val="0"/>
            <w:vAlign w:val="center"/>
          </w:tcPr>
          <w:p w14:paraId="3C43EB98">
            <w:pPr>
              <w:widowControl/>
              <w:jc w:val="center"/>
              <w:rPr>
                <w:rFonts w:ascii="宋体" w:hAnsi="宋体" w:cs="宋体"/>
                <w:b/>
                <w:bCs/>
                <w:kern w:val="0"/>
                <w:sz w:val="28"/>
                <w:szCs w:val="28"/>
              </w:rPr>
            </w:pPr>
            <w:r>
              <w:rPr>
                <w:rFonts w:hint="eastAsia" w:ascii="宋体" w:hAnsi="宋体" w:cs="宋体"/>
                <w:b/>
                <w:bCs/>
                <w:kern w:val="0"/>
                <w:sz w:val="28"/>
                <w:szCs w:val="28"/>
              </w:rPr>
              <w:t>名 称</w:t>
            </w:r>
          </w:p>
        </w:tc>
        <w:tc>
          <w:tcPr>
            <w:tcW w:w="2225" w:type="dxa"/>
            <w:noWrap w:val="0"/>
            <w:vAlign w:val="center"/>
          </w:tcPr>
          <w:p w14:paraId="38B8424E">
            <w:pPr>
              <w:widowControl/>
              <w:jc w:val="center"/>
              <w:rPr>
                <w:rFonts w:ascii="宋体" w:hAnsi="宋体" w:cs="宋体"/>
                <w:b/>
                <w:bCs/>
                <w:kern w:val="0"/>
                <w:sz w:val="28"/>
                <w:szCs w:val="28"/>
              </w:rPr>
            </w:pPr>
            <w:r>
              <w:rPr>
                <w:rFonts w:hint="eastAsia" w:ascii="宋体" w:hAnsi="宋体" w:cs="宋体"/>
                <w:b/>
                <w:bCs/>
                <w:kern w:val="0"/>
                <w:sz w:val="28"/>
                <w:szCs w:val="28"/>
              </w:rPr>
              <w:t>补偿标准</w:t>
            </w:r>
          </w:p>
        </w:tc>
        <w:tc>
          <w:tcPr>
            <w:tcW w:w="2514" w:type="dxa"/>
            <w:noWrap w:val="0"/>
            <w:vAlign w:val="center"/>
          </w:tcPr>
          <w:p w14:paraId="2A47BFD9">
            <w:pPr>
              <w:widowControl/>
              <w:jc w:val="center"/>
              <w:rPr>
                <w:rFonts w:ascii="宋体" w:hAnsi="宋体" w:cs="宋体"/>
                <w:b/>
                <w:bCs/>
                <w:kern w:val="0"/>
                <w:sz w:val="28"/>
                <w:szCs w:val="28"/>
              </w:rPr>
            </w:pPr>
            <w:r>
              <w:rPr>
                <w:rFonts w:hint="eastAsia" w:ascii="宋体" w:hAnsi="宋体" w:cs="宋体"/>
                <w:b/>
                <w:bCs/>
                <w:kern w:val="0"/>
                <w:sz w:val="28"/>
                <w:szCs w:val="28"/>
              </w:rPr>
              <w:t>标准说明</w:t>
            </w:r>
          </w:p>
        </w:tc>
      </w:tr>
      <w:tr w14:paraId="00E8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95" w:type="dxa"/>
            <w:vMerge w:val="restart"/>
            <w:noWrap w:val="0"/>
            <w:vAlign w:val="center"/>
          </w:tcPr>
          <w:p w14:paraId="0701D18C">
            <w:pPr>
              <w:widowControl/>
              <w:spacing w:line="360" w:lineRule="exact"/>
              <w:jc w:val="center"/>
              <w:rPr>
                <w:rFonts w:ascii="宋体" w:hAnsi="宋体" w:cs="宋体"/>
                <w:kern w:val="0"/>
                <w:sz w:val="24"/>
              </w:rPr>
            </w:pPr>
            <w:r>
              <w:rPr>
                <w:rFonts w:hint="eastAsia" w:ascii="宋体" w:hAnsi="宋体" w:cs="宋体"/>
                <w:kern w:val="0"/>
                <w:sz w:val="24"/>
              </w:rPr>
              <w:t>自行封闭阳台</w:t>
            </w:r>
          </w:p>
        </w:tc>
        <w:tc>
          <w:tcPr>
            <w:tcW w:w="2430" w:type="dxa"/>
            <w:noWrap w:val="0"/>
            <w:vAlign w:val="center"/>
          </w:tcPr>
          <w:p w14:paraId="5CCFAF6A">
            <w:pPr>
              <w:widowControl/>
              <w:spacing w:line="360" w:lineRule="exact"/>
              <w:jc w:val="center"/>
              <w:rPr>
                <w:rFonts w:ascii="宋体" w:hAnsi="宋体" w:cs="宋体"/>
                <w:kern w:val="0"/>
                <w:sz w:val="24"/>
              </w:rPr>
            </w:pPr>
            <w:r>
              <w:rPr>
                <w:rFonts w:hint="eastAsia" w:ascii="宋体" w:hAnsi="宋体" w:cs="宋体"/>
                <w:kern w:val="0"/>
                <w:sz w:val="24"/>
              </w:rPr>
              <w:t>铝合金材料封闭</w:t>
            </w:r>
          </w:p>
        </w:tc>
        <w:tc>
          <w:tcPr>
            <w:tcW w:w="2225" w:type="dxa"/>
            <w:noWrap w:val="0"/>
            <w:vAlign w:val="center"/>
          </w:tcPr>
          <w:p w14:paraId="10F916EA">
            <w:pPr>
              <w:widowControl/>
              <w:spacing w:line="360" w:lineRule="exact"/>
              <w:jc w:val="center"/>
              <w:rPr>
                <w:rFonts w:hint="eastAsia" w:ascii="宋体" w:hAnsi="宋体" w:cs="宋体"/>
                <w:kern w:val="0"/>
                <w:sz w:val="24"/>
              </w:rPr>
            </w:pPr>
            <w:r>
              <w:rPr>
                <w:rFonts w:hint="eastAsia" w:ascii="宋体" w:hAnsi="宋体" w:cs="宋体"/>
                <w:kern w:val="0"/>
                <w:sz w:val="24"/>
              </w:rPr>
              <w:t>1000元/个</w:t>
            </w:r>
          </w:p>
        </w:tc>
        <w:tc>
          <w:tcPr>
            <w:tcW w:w="2514" w:type="dxa"/>
            <w:noWrap w:val="0"/>
            <w:vAlign w:val="center"/>
          </w:tcPr>
          <w:p w14:paraId="19B23E7C">
            <w:pPr>
              <w:widowControl/>
              <w:spacing w:line="360" w:lineRule="exact"/>
              <w:rPr>
                <w:rFonts w:ascii="宋体" w:hAnsi="宋体" w:cs="宋体"/>
                <w:kern w:val="0"/>
                <w:sz w:val="24"/>
              </w:rPr>
            </w:pPr>
          </w:p>
        </w:tc>
      </w:tr>
      <w:tr w14:paraId="07A9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95" w:type="dxa"/>
            <w:vMerge w:val="continue"/>
            <w:noWrap w:val="0"/>
            <w:vAlign w:val="center"/>
          </w:tcPr>
          <w:p w14:paraId="4090127A">
            <w:pPr>
              <w:widowControl/>
              <w:spacing w:line="360" w:lineRule="exact"/>
              <w:jc w:val="left"/>
              <w:rPr>
                <w:rFonts w:ascii="宋体" w:hAnsi="宋体" w:cs="宋体"/>
                <w:kern w:val="0"/>
                <w:sz w:val="24"/>
              </w:rPr>
            </w:pPr>
          </w:p>
        </w:tc>
        <w:tc>
          <w:tcPr>
            <w:tcW w:w="2430" w:type="dxa"/>
            <w:noWrap w:val="0"/>
            <w:vAlign w:val="center"/>
          </w:tcPr>
          <w:p w14:paraId="78D0AE30">
            <w:pPr>
              <w:widowControl/>
              <w:spacing w:line="360" w:lineRule="exact"/>
              <w:jc w:val="center"/>
              <w:rPr>
                <w:rFonts w:ascii="宋体" w:hAnsi="宋体" w:cs="宋体"/>
                <w:kern w:val="0"/>
                <w:sz w:val="24"/>
              </w:rPr>
            </w:pPr>
            <w:r>
              <w:rPr>
                <w:rFonts w:hint="eastAsia" w:ascii="宋体" w:hAnsi="宋体" w:cs="宋体"/>
                <w:kern w:val="0"/>
                <w:sz w:val="24"/>
              </w:rPr>
              <w:t>塑钢窗材料封闭</w:t>
            </w:r>
          </w:p>
        </w:tc>
        <w:tc>
          <w:tcPr>
            <w:tcW w:w="2225" w:type="dxa"/>
            <w:noWrap w:val="0"/>
            <w:vAlign w:val="center"/>
          </w:tcPr>
          <w:p w14:paraId="6E2A31AC">
            <w:pPr>
              <w:widowControl/>
              <w:spacing w:line="360" w:lineRule="exact"/>
              <w:jc w:val="center"/>
              <w:rPr>
                <w:rFonts w:hint="eastAsia" w:ascii="宋体" w:hAnsi="宋体" w:cs="宋体"/>
                <w:kern w:val="0"/>
                <w:sz w:val="24"/>
              </w:rPr>
            </w:pPr>
            <w:r>
              <w:rPr>
                <w:rFonts w:hint="eastAsia" w:ascii="宋体" w:hAnsi="宋体" w:cs="宋体"/>
                <w:kern w:val="0"/>
                <w:sz w:val="24"/>
              </w:rPr>
              <w:t>1500元/个</w:t>
            </w:r>
          </w:p>
        </w:tc>
        <w:tc>
          <w:tcPr>
            <w:tcW w:w="2514" w:type="dxa"/>
            <w:noWrap w:val="0"/>
            <w:vAlign w:val="center"/>
          </w:tcPr>
          <w:p w14:paraId="332BE0BA">
            <w:pPr>
              <w:widowControl/>
              <w:spacing w:line="360" w:lineRule="exact"/>
              <w:jc w:val="center"/>
              <w:rPr>
                <w:rFonts w:ascii="宋体" w:hAnsi="宋体" w:cs="宋体"/>
                <w:kern w:val="0"/>
                <w:sz w:val="24"/>
              </w:rPr>
            </w:pPr>
          </w:p>
        </w:tc>
      </w:tr>
      <w:tr w14:paraId="1867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1D714D9A">
            <w:pPr>
              <w:widowControl/>
              <w:spacing w:line="360" w:lineRule="exact"/>
              <w:jc w:val="left"/>
              <w:rPr>
                <w:rFonts w:ascii="宋体" w:hAnsi="宋体" w:cs="宋体"/>
                <w:kern w:val="0"/>
                <w:sz w:val="24"/>
              </w:rPr>
            </w:pPr>
          </w:p>
        </w:tc>
        <w:tc>
          <w:tcPr>
            <w:tcW w:w="2430" w:type="dxa"/>
            <w:noWrap w:val="0"/>
            <w:vAlign w:val="center"/>
          </w:tcPr>
          <w:p w14:paraId="5B60F661">
            <w:pPr>
              <w:widowControl/>
              <w:spacing w:line="360" w:lineRule="exact"/>
              <w:jc w:val="center"/>
              <w:rPr>
                <w:rFonts w:ascii="宋体" w:hAnsi="宋体" w:cs="宋体"/>
                <w:kern w:val="0"/>
                <w:sz w:val="24"/>
              </w:rPr>
            </w:pPr>
            <w:r>
              <w:rPr>
                <w:rFonts w:hint="eastAsia" w:ascii="宋体" w:hAnsi="宋体" w:cs="宋体"/>
                <w:kern w:val="0"/>
                <w:sz w:val="24"/>
              </w:rPr>
              <w:t>木窗／铁窗材料封闭</w:t>
            </w:r>
          </w:p>
        </w:tc>
        <w:tc>
          <w:tcPr>
            <w:tcW w:w="2225" w:type="dxa"/>
            <w:noWrap w:val="0"/>
            <w:vAlign w:val="center"/>
          </w:tcPr>
          <w:p w14:paraId="0073E0EC">
            <w:pPr>
              <w:widowControl/>
              <w:spacing w:line="360" w:lineRule="exact"/>
              <w:jc w:val="center"/>
              <w:rPr>
                <w:rFonts w:hint="eastAsia" w:ascii="宋体" w:hAnsi="宋体" w:cs="宋体"/>
                <w:kern w:val="0"/>
                <w:sz w:val="24"/>
              </w:rPr>
            </w:pPr>
            <w:r>
              <w:rPr>
                <w:rFonts w:hint="eastAsia" w:ascii="宋体" w:hAnsi="宋体" w:cs="宋体"/>
                <w:kern w:val="0"/>
                <w:sz w:val="24"/>
              </w:rPr>
              <w:t>700元/个</w:t>
            </w:r>
          </w:p>
        </w:tc>
        <w:tc>
          <w:tcPr>
            <w:tcW w:w="2514" w:type="dxa"/>
            <w:noWrap w:val="0"/>
            <w:vAlign w:val="center"/>
          </w:tcPr>
          <w:p w14:paraId="581E9512">
            <w:pPr>
              <w:widowControl/>
              <w:spacing w:line="360" w:lineRule="exact"/>
              <w:jc w:val="center"/>
              <w:rPr>
                <w:rFonts w:ascii="宋体" w:hAnsi="宋体" w:cs="宋体"/>
                <w:kern w:val="0"/>
                <w:sz w:val="24"/>
              </w:rPr>
            </w:pPr>
          </w:p>
        </w:tc>
      </w:tr>
      <w:tr w14:paraId="413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5" w:type="dxa"/>
            <w:vMerge w:val="restart"/>
            <w:noWrap w:val="0"/>
            <w:vAlign w:val="center"/>
          </w:tcPr>
          <w:p w14:paraId="796BB3B2">
            <w:pPr>
              <w:widowControl/>
              <w:spacing w:line="360" w:lineRule="exact"/>
              <w:jc w:val="center"/>
              <w:rPr>
                <w:rFonts w:ascii="宋体" w:hAnsi="宋体" w:cs="宋体"/>
                <w:kern w:val="0"/>
                <w:sz w:val="24"/>
              </w:rPr>
            </w:pPr>
            <w:r>
              <w:rPr>
                <w:rFonts w:hint="eastAsia" w:ascii="宋体" w:hAnsi="宋体" w:cs="宋体"/>
                <w:kern w:val="0"/>
                <w:sz w:val="24"/>
              </w:rPr>
              <w:t>夹层、假层、居住暗楼</w:t>
            </w:r>
          </w:p>
        </w:tc>
        <w:tc>
          <w:tcPr>
            <w:tcW w:w="2430" w:type="dxa"/>
            <w:noWrap w:val="0"/>
            <w:vAlign w:val="center"/>
          </w:tcPr>
          <w:p w14:paraId="5D75256A">
            <w:pPr>
              <w:widowControl/>
              <w:spacing w:line="360" w:lineRule="exact"/>
              <w:jc w:val="center"/>
              <w:rPr>
                <w:rFonts w:ascii="宋体" w:hAnsi="宋体" w:cs="宋体"/>
                <w:kern w:val="0"/>
                <w:sz w:val="24"/>
              </w:rPr>
            </w:pPr>
            <w:r>
              <w:rPr>
                <w:rFonts w:hint="eastAsia" w:ascii="宋体" w:hAnsi="宋体" w:cs="宋体"/>
                <w:kern w:val="0"/>
                <w:sz w:val="24"/>
              </w:rPr>
              <w:t>工字钢、槽钢、角钢</w:t>
            </w:r>
          </w:p>
        </w:tc>
        <w:tc>
          <w:tcPr>
            <w:tcW w:w="2225" w:type="dxa"/>
            <w:noWrap w:val="0"/>
            <w:vAlign w:val="center"/>
          </w:tcPr>
          <w:p w14:paraId="00DE9F4F">
            <w:pPr>
              <w:widowControl/>
              <w:spacing w:line="360" w:lineRule="exact"/>
              <w:jc w:val="center"/>
              <w:rPr>
                <w:rFonts w:hint="eastAsia" w:ascii="宋体" w:hAnsi="宋体" w:cs="宋体"/>
                <w:kern w:val="0"/>
                <w:sz w:val="24"/>
              </w:rPr>
            </w:pPr>
            <w:r>
              <w:rPr>
                <w:rFonts w:hint="eastAsia" w:ascii="宋体" w:hAnsi="宋体" w:cs="宋体"/>
                <w:kern w:val="0"/>
                <w:sz w:val="24"/>
              </w:rPr>
              <w:t>350元/平方米</w:t>
            </w:r>
          </w:p>
        </w:tc>
        <w:tc>
          <w:tcPr>
            <w:tcW w:w="2514" w:type="dxa"/>
            <w:vMerge w:val="restart"/>
            <w:noWrap w:val="0"/>
            <w:vAlign w:val="center"/>
          </w:tcPr>
          <w:p w14:paraId="73D87325">
            <w:pPr>
              <w:widowControl/>
              <w:spacing w:line="360" w:lineRule="exact"/>
              <w:rPr>
                <w:rFonts w:ascii="宋体" w:hAnsi="宋体" w:cs="宋体"/>
                <w:kern w:val="0"/>
                <w:sz w:val="24"/>
              </w:rPr>
            </w:pPr>
            <w:r>
              <w:rPr>
                <w:rFonts w:hint="eastAsia" w:ascii="宋体" w:hAnsi="宋体" w:cs="宋体"/>
                <w:kern w:val="0"/>
                <w:sz w:val="24"/>
              </w:rPr>
              <w:t>层高＜1.5米，打7折。无固定楼梯、栏杆，打8折。面积由项目部确定，绘在房屋征收验收单上，项目部盖章。</w:t>
            </w:r>
          </w:p>
        </w:tc>
      </w:tr>
      <w:tr w14:paraId="5575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95" w:type="dxa"/>
            <w:vMerge w:val="continue"/>
            <w:noWrap w:val="0"/>
            <w:vAlign w:val="center"/>
          </w:tcPr>
          <w:p w14:paraId="32212AB5">
            <w:pPr>
              <w:widowControl/>
              <w:spacing w:line="360" w:lineRule="exact"/>
              <w:jc w:val="left"/>
              <w:rPr>
                <w:rFonts w:ascii="宋体" w:hAnsi="宋体" w:cs="宋体"/>
                <w:kern w:val="0"/>
                <w:sz w:val="24"/>
              </w:rPr>
            </w:pPr>
          </w:p>
        </w:tc>
        <w:tc>
          <w:tcPr>
            <w:tcW w:w="2430" w:type="dxa"/>
            <w:noWrap w:val="0"/>
            <w:vAlign w:val="center"/>
          </w:tcPr>
          <w:p w14:paraId="75709DCB">
            <w:pPr>
              <w:widowControl/>
              <w:spacing w:line="360" w:lineRule="exact"/>
              <w:jc w:val="center"/>
              <w:rPr>
                <w:rFonts w:ascii="宋体" w:hAnsi="宋体" w:cs="宋体"/>
                <w:kern w:val="0"/>
                <w:sz w:val="24"/>
              </w:rPr>
            </w:pPr>
            <w:r>
              <w:rPr>
                <w:rFonts w:hint="eastAsia" w:ascii="宋体" w:hAnsi="宋体" w:cs="宋体"/>
                <w:kern w:val="0"/>
                <w:sz w:val="24"/>
              </w:rPr>
              <w:t>现浇楼板</w:t>
            </w:r>
          </w:p>
        </w:tc>
        <w:tc>
          <w:tcPr>
            <w:tcW w:w="2225" w:type="dxa"/>
            <w:noWrap w:val="0"/>
            <w:vAlign w:val="center"/>
          </w:tcPr>
          <w:p w14:paraId="3C833B3F">
            <w:pPr>
              <w:widowControl/>
              <w:spacing w:line="360" w:lineRule="exact"/>
              <w:jc w:val="center"/>
              <w:rPr>
                <w:rFonts w:hint="eastAsia" w:ascii="宋体" w:hAnsi="宋体" w:cs="宋体"/>
                <w:kern w:val="0"/>
                <w:sz w:val="24"/>
              </w:rPr>
            </w:pPr>
            <w:r>
              <w:rPr>
                <w:rFonts w:hint="eastAsia" w:ascii="宋体" w:hAnsi="宋体" w:cs="宋体"/>
                <w:kern w:val="0"/>
                <w:sz w:val="24"/>
              </w:rPr>
              <w:t>400元/平方米</w:t>
            </w:r>
          </w:p>
        </w:tc>
        <w:tc>
          <w:tcPr>
            <w:tcW w:w="2514" w:type="dxa"/>
            <w:vMerge w:val="continue"/>
            <w:noWrap w:val="0"/>
            <w:vAlign w:val="center"/>
          </w:tcPr>
          <w:p w14:paraId="426666B2">
            <w:pPr>
              <w:widowControl/>
              <w:spacing w:line="360" w:lineRule="exact"/>
              <w:jc w:val="left"/>
              <w:rPr>
                <w:rFonts w:ascii="宋体" w:hAnsi="宋体" w:cs="宋体"/>
                <w:kern w:val="0"/>
                <w:sz w:val="24"/>
              </w:rPr>
            </w:pPr>
          </w:p>
        </w:tc>
      </w:tr>
      <w:tr w14:paraId="6EDE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95" w:type="dxa"/>
            <w:vMerge w:val="continue"/>
            <w:noWrap w:val="0"/>
            <w:vAlign w:val="center"/>
          </w:tcPr>
          <w:p w14:paraId="39CAD137">
            <w:pPr>
              <w:widowControl/>
              <w:spacing w:line="360" w:lineRule="exact"/>
              <w:jc w:val="left"/>
              <w:rPr>
                <w:rFonts w:ascii="宋体" w:hAnsi="宋体" w:cs="宋体"/>
                <w:kern w:val="0"/>
                <w:sz w:val="24"/>
              </w:rPr>
            </w:pPr>
          </w:p>
        </w:tc>
        <w:tc>
          <w:tcPr>
            <w:tcW w:w="2430" w:type="dxa"/>
            <w:noWrap w:val="0"/>
            <w:vAlign w:val="center"/>
          </w:tcPr>
          <w:p w14:paraId="744C673A">
            <w:pPr>
              <w:widowControl/>
              <w:spacing w:line="360" w:lineRule="exact"/>
              <w:jc w:val="center"/>
              <w:rPr>
                <w:rFonts w:ascii="宋体" w:hAnsi="宋体" w:cs="宋体"/>
                <w:kern w:val="0"/>
                <w:sz w:val="24"/>
              </w:rPr>
            </w:pPr>
            <w:r>
              <w:rPr>
                <w:rFonts w:hint="eastAsia" w:ascii="宋体" w:hAnsi="宋体" w:cs="宋体"/>
                <w:kern w:val="0"/>
                <w:sz w:val="24"/>
              </w:rPr>
              <w:t>预制楼板</w:t>
            </w:r>
          </w:p>
        </w:tc>
        <w:tc>
          <w:tcPr>
            <w:tcW w:w="2225" w:type="dxa"/>
            <w:noWrap w:val="0"/>
            <w:vAlign w:val="center"/>
          </w:tcPr>
          <w:p w14:paraId="32CF0531">
            <w:pPr>
              <w:widowControl/>
              <w:spacing w:line="360" w:lineRule="exact"/>
              <w:jc w:val="center"/>
              <w:rPr>
                <w:rFonts w:hint="eastAsia" w:ascii="宋体" w:hAnsi="宋体" w:cs="宋体"/>
                <w:kern w:val="0"/>
                <w:sz w:val="24"/>
              </w:rPr>
            </w:pPr>
            <w:r>
              <w:rPr>
                <w:rFonts w:hint="eastAsia" w:ascii="宋体" w:hAnsi="宋体" w:cs="宋体"/>
                <w:kern w:val="0"/>
                <w:sz w:val="24"/>
              </w:rPr>
              <w:t>250元/平方米</w:t>
            </w:r>
          </w:p>
        </w:tc>
        <w:tc>
          <w:tcPr>
            <w:tcW w:w="2514" w:type="dxa"/>
            <w:vMerge w:val="continue"/>
            <w:noWrap w:val="0"/>
            <w:vAlign w:val="center"/>
          </w:tcPr>
          <w:p w14:paraId="0C86FC8A">
            <w:pPr>
              <w:widowControl/>
              <w:spacing w:line="360" w:lineRule="exact"/>
              <w:jc w:val="left"/>
              <w:rPr>
                <w:rFonts w:ascii="宋体" w:hAnsi="宋体" w:cs="宋体"/>
                <w:kern w:val="0"/>
                <w:sz w:val="24"/>
              </w:rPr>
            </w:pPr>
          </w:p>
        </w:tc>
      </w:tr>
      <w:tr w14:paraId="487E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4918A653">
            <w:pPr>
              <w:widowControl/>
              <w:spacing w:line="360" w:lineRule="exact"/>
              <w:jc w:val="left"/>
              <w:rPr>
                <w:rFonts w:ascii="宋体" w:hAnsi="宋体" w:cs="宋体"/>
                <w:kern w:val="0"/>
                <w:sz w:val="24"/>
              </w:rPr>
            </w:pPr>
          </w:p>
        </w:tc>
        <w:tc>
          <w:tcPr>
            <w:tcW w:w="2430" w:type="dxa"/>
            <w:noWrap w:val="0"/>
            <w:vAlign w:val="center"/>
          </w:tcPr>
          <w:p w14:paraId="3E8208EE">
            <w:pPr>
              <w:widowControl/>
              <w:spacing w:line="360" w:lineRule="exact"/>
              <w:jc w:val="center"/>
              <w:rPr>
                <w:rFonts w:ascii="宋体" w:hAnsi="宋体" w:cs="宋体"/>
                <w:kern w:val="0"/>
                <w:sz w:val="24"/>
              </w:rPr>
            </w:pPr>
            <w:r>
              <w:rPr>
                <w:rFonts w:hint="eastAsia" w:ascii="宋体" w:hAnsi="宋体" w:cs="宋体"/>
                <w:kern w:val="0"/>
                <w:sz w:val="24"/>
              </w:rPr>
              <w:t>方木、圆木</w:t>
            </w:r>
          </w:p>
        </w:tc>
        <w:tc>
          <w:tcPr>
            <w:tcW w:w="2225" w:type="dxa"/>
            <w:noWrap w:val="0"/>
            <w:vAlign w:val="center"/>
          </w:tcPr>
          <w:p w14:paraId="57629453">
            <w:pPr>
              <w:widowControl/>
              <w:spacing w:line="360" w:lineRule="exact"/>
              <w:jc w:val="center"/>
              <w:rPr>
                <w:rFonts w:hint="eastAsia" w:ascii="宋体" w:hAnsi="宋体" w:cs="宋体"/>
                <w:kern w:val="0"/>
                <w:sz w:val="24"/>
              </w:rPr>
            </w:pPr>
            <w:r>
              <w:rPr>
                <w:rFonts w:hint="eastAsia" w:ascii="宋体" w:hAnsi="宋体" w:cs="宋体"/>
                <w:kern w:val="0"/>
                <w:sz w:val="24"/>
              </w:rPr>
              <w:t>200元/平方米</w:t>
            </w:r>
          </w:p>
        </w:tc>
        <w:tc>
          <w:tcPr>
            <w:tcW w:w="2514" w:type="dxa"/>
            <w:vMerge w:val="continue"/>
            <w:noWrap w:val="0"/>
            <w:vAlign w:val="center"/>
          </w:tcPr>
          <w:p w14:paraId="4D7A1BD5">
            <w:pPr>
              <w:widowControl/>
              <w:spacing w:line="360" w:lineRule="exact"/>
              <w:jc w:val="left"/>
              <w:rPr>
                <w:rFonts w:ascii="宋体" w:hAnsi="宋体" w:cs="宋体"/>
                <w:kern w:val="0"/>
                <w:sz w:val="24"/>
              </w:rPr>
            </w:pPr>
          </w:p>
        </w:tc>
      </w:tr>
      <w:tr w14:paraId="6DAC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5" w:type="dxa"/>
            <w:noWrap w:val="0"/>
            <w:vAlign w:val="center"/>
          </w:tcPr>
          <w:p w14:paraId="79D1D8BF">
            <w:pPr>
              <w:widowControl/>
              <w:spacing w:line="360" w:lineRule="exact"/>
              <w:jc w:val="center"/>
              <w:rPr>
                <w:rFonts w:ascii="宋体" w:hAnsi="宋体" w:cs="宋体"/>
                <w:kern w:val="0"/>
                <w:sz w:val="24"/>
              </w:rPr>
            </w:pPr>
            <w:r>
              <w:rPr>
                <w:rFonts w:hint="eastAsia" w:ascii="宋体" w:hAnsi="宋体" w:cs="宋体"/>
                <w:kern w:val="0"/>
                <w:sz w:val="24"/>
              </w:rPr>
              <w:t>非居住暗楼</w:t>
            </w:r>
          </w:p>
        </w:tc>
        <w:tc>
          <w:tcPr>
            <w:tcW w:w="2430" w:type="dxa"/>
            <w:noWrap w:val="0"/>
            <w:vAlign w:val="center"/>
          </w:tcPr>
          <w:p w14:paraId="06EBF839">
            <w:pPr>
              <w:widowControl/>
              <w:spacing w:line="360" w:lineRule="exact"/>
              <w:jc w:val="center"/>
              <w:rPr>
                <w:rFonts w:ascii="宋体" w:hAnsi="宋体" w:cs="宋体"/>
                <w:kern w:val="0"/>
                <w:sz w:val="24"/>
              </w:rPr>
            </w:pPr>
            <w:r>
              <w:rPr>
                <w:rFonts w:hint="eastAsia" w:ascii="宋体" w:hAnsi="宋体" w:cs="宋体"/>
                <w:kern w:val="0"/>
                <w:sz w:val="24"/>
              </w:rPr>
              <w:t>　</w:t>
            </w:r>
          </w:p>
        </w:tc>
        <w:tc>
          <w:tcPr>
            <w:tcW w:w="2225" w:type="dxa"/>
            <w:noWrap w:val="0"/>
            <w:vAlign w:val="center"/>
          </w:tcPr>
          <w:p w14:paraId="498508AC">
            <w:pPr>
              <w:widowControl/>
              <w:spacing w:line="360" w:lineRule="exact"/>
              <w:jc w:val="center"/>
              <w:rPr>
                <w:rFonts w:hint="eastAsia" w:ascii="宋体" w:hAnsi="宋体" w:cs="宋体"/>
                <w:kern w:val="0"/>
                <w:sz w:val="24"/>
              </w:rPr>
            </w:pPr>
            <w:r>
              <w:rPr>
                <w:rFonts w:hint="eastAsia" w:ascii="宋体" w:hAnsi="宋体" w:cs="宋体"/>
                <w:kern w:val="0"/>
                <w:sz w:val="24"/>
              </w:rPr>
              <w:t>200-400元/个</w:t>
            </w:r>
          </w:p>
        </w:tc>
        <w:tc>
          <w:tcPr>
            <w:tcW w:w="2514" w:type="dxa"/>
            <w:noWrap w:val="0"/>
            <w:vAlign w:val="center"/>
          </w:tcPr>
          <w:p w14:paraId="0798FF91">
            <w:pPr>
              <w:widowControl/>
              <w:spacing w:line="360" w:lineRule="exact"/>
              <w:jc w:val="center"/>
              <w:rPr>
                <w:rFonts w:ascii="宋体" w:hAnsi="宋体" w:cs="宋体"/>
                <w:kern w:val="0"/>
                <w:sz w:val="24"/>
              </w:rPr>
            </w:pPr>
            <w:r>
              <w:rPr>
                <w:rFonts w:hint="eastAsia" w:ascii="宋体" w:hAnsi="宋体" w:cs="宋体"/>
                <w:kern w:val="0"/>
                <w:sz w:val="24"/>
              </w:rPr>
              <w:t>　</w:t>
            </w:r>
          </w:p>
        </w:tc>
      </w:tr>
      <w:tr w14:paraId="634A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5" w:type="dxa"/>
            <w:vMerge w:val="restart"/>
            <w:noWrap w:val="0"/>
            <w:vAlign w:val="center"/>
          </w:tcPr>
          <w:p w14:paraId="1893CFFB">
            <w:pPr>
              <w:widowControl/>
              <w:spacing w:line="360" w:lineRule="exact"/>
              <w:jc w:val="center"/>
              <w:rPr>
                <w:rFonts w:ascii="宋体" w:hAnsi="宋体" w:cs="宋体"/>
                <w:kern w:val="0"/>
                <w:sz w:val="24"/>
              </w:rPr>
            </w:pPr>
            <w:r>
              <w:rPr>
                <w:rFonts w:hint="eastAsia" w:ascii="宋体" w:hAnsi="宋体" w:cs="宋体"/>
                <w:kern w:val="0"/>
                <w:sz w:val="24"/>
              </w:rPr>
              <w:t>无烟灶台</w:t>
            </w:r>
          </w:p>
        </w:tc>
        <w:tc>
          <w:tcPr>
            <w:tcW w:w="2430" w:type="dxa"/>
            <w:noWrap w:val="0"/>
            <w:vAlign w:val="center"/>
          </w:tcPr>
          <w:p w14:paraId="0EF74E08">
            <w:pPr>
              <w:widowControl/>
              <w:spacing w:line="360" w:lineRule="exact"/>
              <w:jc w:val="center"/>
              <w:rPr>
                <w:rFonts w:ascii="宋体" w:hAnsi="宋体" w:cs="宋体"/>
                <w:kern w:val="0"/>
                <w:sz w:val="24"/>
              </w:rPr>
            </w:pPr>
            <w:r>
              <w:rPr>
                <w:rFonts w:hint="eastAsia" w:ascii="宋体" w:hAnsi="宋体" w:cs="宋体"/>
                <w:kern w:val="0"/>
                <w:sz w:val="24"/>
              </w:rPr>
              <w:t>自行搭建</w:t>
            </w:r>
          </w:p>
        </w:tc>
        <w:tc>
          <w:tcPr>
            <w:tcW w:w="2225" w:type="dxa"/>
            <w:noWrap w:val="0"/>
            <w:vAlign w:val="center"/>
          </w:tcPr>
          <w:p w14:paraId="124C3AEB">
            <w:pPr>
              <w:widowControl/>
              <w:spacing w:line="360" w:lineRule="exact"/>
              <w:jc w:val="center"/>
              <w:rPr>
                <w:rFonts w:hint="eastAsia" w:ascii="宋体" w:hAnsi="宋体" w:cs="宋体"/>
                <w:kern w:val="0"/>
                <w:sz w:val="24"/>
              </w:rPr>
            </w:pPr>
            <w:r>
              <w:rPr>
                <w:rFonts w:hint="eastAsia" w:ascii="宋体" w:hAnsi="宋体" w:cs="宋体"/>
                <w:kern w:val="0"/>
                <w:sz w:val="24"/>
              </w:rPr>
              <w:t>600元/个</w:t>
            </w:r>
          </w:p>
        </w:tc>
        <w:tc>
          <w:tcPr>
            <w:tcW w:w="2514" w:type="dxa"/>
            <w:noWrap w:val="0"/>
            <w:vAlign w:val="center"/>
          </w:tcPr>
          <w:p w14:paraId="6F6D516F">
            <w:pPr>
              <w:widowControl/>
              <w:spacing w:line="360" w:lineRule="exact"/>
              <w:jc w:val="center"/>
              <w:rPr>
                <w:rFonts w:ascii="宋体" w:hAnsi="宋体" w:cs="宋体"/>
                <w:kern w:val="0"/>
                <w:sz w:val="24"/>
              </w:rPr>
            </w:pPr>
            <w:r>
              <w:rPr>
                <w:rFonts w:hint="eastAsia" w:ascii="宋体" w:hAnsi="宋体" w:cs="宋体"/>
                <w:kern w:val="0"/>
                <w:sz w:val="24"/>
              </w:rPr>
              <w:t>　</w:t>
            </w:r>
          </w:p>
        </w:tc>
      </w:tr>
      <w:tr w14:paraId="684B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95" w:type="dxa"/>
            <w:vMerge w:val="continue"/>
            <w:noWrap w:val="0"/>
            <w:vAlign w:val="center"/>
          </w:tcPr>
          <w:p w14:paraId="0C02BD04">
            <w:pPr>
              <w:widowControl/>
              <w:spacing w:line="360" w:lineRule="exact"/>
              <w:jc w:val="left"/>
              <w:rPr>
                <w:rFonts w:ascii="宋体" w:hAnsi="宋体" w:cs="宋体"/>
                <w:kern w:val="0"/>
                <w:sz w:val="24"/>
              </w:rPr>
            </w:pPr>
          </w:p>
        </w:tc>
        <w:tc>
          <w:tcPr>
            <w:tcW w:w="2430" w:type="dxa"/>
            <w:noWrap w:val="0"/>
            <w:vAlign w:val="center"/>
          </w:tcPr>
          <w:p w14:paraId="2E5A07A0">
            <w:pPr>
              <w:widowControl/>
              <w:spacing w:line="360" w:lineRule="exact"/>
              <w:jc w:val="center"/>
              <w:rPr>
                <w:rFonts w:ascii="宋体" w:hAnsi="宋体" w:cs="宋体"/>
                <w:kern w:val="0"/>
                <w:sz w:val="24"/>
              </w:rPr>
            </w:pPr>
            <w:r>
              <w:rPr>
                <w:rFonts w:hint="eastAsia" w:ascii="宋体" w:hAnsi="宋体" w:cs="宋体"/>
                <w:kern w:val="0"/>
                <w:sz w:val="24"/>
              </w:rPr>
              <w:t>整体安装</w:t>
            </w:r>
          </w:p>
        </w:tc>
        <w:tc>
          <w:tcPr>
            <w:tcW w:w="2225" w:type="dxa"/>
            <w:noWrap w:val="0"/>
            <w:vAlign w:val="center"/>
          </w:tcPr>
          <w:p w14:paraId="3921F82B">
            <w:pPr>
              <w:widowControl/>
              <w:spacing w:line="360" w:lineRule="exact"/>
              <w:jc w:val="center"/>
              <w:rPr>
                <w:rFonts w:hint="eastAsia" w:ascii="宋体" w:hAnsi="宋体" w:cs="宋体"/>
                <w:kern w:val="0"/>
                <w:sz w:val="24"/>
              </w:rPr>
            </w:pPr>
            <w:r>
              <w:rPr>
                <w:rFonts w:hint="eastAsia" w:ascii="宋体" w:hAnsi="宋体" w:cs="宋体"/>
                <w:kern w:val="0"/>
                <w:sz w:val="24"/>
              </w:rPr>
              <w:t>800元/个</w:t>
            </w:r>
          </w:p>
        </w:tc>
        <w:tc>
          <w:tcPr>
            <w:tcW w:w="2514" w:type="dxa"/>
            <w:noWrap w:val="0"/>
            <w:vAlign w:val="center"/>
          </w:tcPr>
          <w:p w14:paraId="61C8C8E5">
            <w:pPr>
              <w:widowControl/>
              <w:spacing w:line="360" w:lineRule="exact"/>
              <w:jc w:val="center"/>
              <w:rPr>
                <w:rFonts w:ascii="宋体" w:hAnsi="宋体" w:cs="宋体"/>
                <w:kern w:val="0"/>
                <w:sz w:val="24"/>
              </w:rPr>
            </w:pPr>
            <w:r>
              <w:rPr>
                <w:rFonts w:hint="eastAsia" w:ascii="宋体" w:hAnsi="宋体" w:cs="宋体"/>
                <w:kern w:val="0"/>
                <w:sz w:val="24"/>
              </w:rPr>
              <w:t>　</w:t>
            </w:r>
          </w:p>
        </w:tc>
      </w:tr>
      <w:tr w14:paraId="69E0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95" w:type="dxa"/>
            <w:vMerge w:val="restart"/>
            <w:noWrap w:val="0"/>
            <w:vAlign w:val="center"/>
          </w:tcPr>
          <w:p w14:paraId="7EEA951D">
            <w:pPr>
              <w:widowControl/>
              <w:spacing w:line="360" w:lineRule="exact"/>
              <w:jc w:val="center"/>
              <w:rPr>
                <w:rFonts w:ascii="宋体" w:hAnsi="宋体" w:cs="宋体"/>
                <w:kern w:val="0"/>
                <w:sz w:val="24"/>
              </w:rPr>
            </w:pPr>
            <w:r>
              <w:rPr>
                <w:rFonts w:hint="eastAsia" w:ascii="宋体" w:hAnsi="宋体" w:cs="宋体"/>
                <w:kern w:val="0"/>
                <w:sz w:val="24"/>
              </w:rPr>
              <w:t>防盗网</w:t>
            </w:r>
          </w:p>
        </w:tc>
        <w:tc>
          <w:tcPr>
            <w:tcW w:w="2430" w:type="dxa"/>
            <w:noWrap w:val="0"/>
            <w:vAlign w:val="center"/>
          </w:tcPr>
          <w:p w14:paraId="3BBEA4CB">
            <w:pPr>
              <w:widowControl/>
              <w:spacing w:line="360" w:lineRule="exact"/>
              <w:jc w:val="center"/>
              <w:rPr>
                <w:rFonts w:ascii="宋体" w:hAnsi="宋体" w:cs="宋体"/>
                <w:kern w:val="0"/>
                <w:sz w:val="24"/>
              </w:rPr>
            </w:pPr>
            <w:r>
              <w:rPr>
                <w:rFonts w:hint="eastAsia" w:ascii="宋体" w:hAnsi="宋体" w:cs="宋体"/>
                <w:kern w:val="0"/>
                <w:sz w:val="24"/>
              </w:rPr>
              <w:t>钢铁材质</w:t>
            </w:r>
          </w:p>
        </w:tc>
        <w:tc>
          <w:tcPr>
            <w:tcW w:w="2225" w:type="dxa"/>
            <w:noWrap w:val="0"/>
            <w:vAlign w:val="center"/>
          </w:tcPr>
          <w:p w14:paraId="2CEFCF8D">
            <w:pPr>
              <w:widowControl/>
              <w:spacing w:line="360" w:lineRule="exact"/>
              <w:jc w:val="center"/>
              <w:rPr>
                <w:rFonts w:hint="eastAsia" w:ascii="宋体" w:hAnsi="宋体" w:cs="宋体"/>
                <w:kern w:val="0"/>
                <w:sz w:val="24"/>
              </w:rPr>
            </w:pPr>
            <w:r>
              <w:rPr>
                <w:rFonts w:hint="eastAsia" w:ascii="宋体" w:hAnsi="宋体" w:cs="宋体"/>
                <w:kern w:val="0"/>
                <w:sz w:val="24"/>
              </w:rPr>
              <w:t>100元/平方米</w:t>
            </w:r>
          </w:p>
        </w:tc>
        <w:tc>
          <w:tcPr>
            <w:tcW w:w="2514" w:type="dxa"/>
            <w:vMerge w:val="restart"/>
            <w:noWrap w:val="0"/>
            <w:vAlign w:val="center"/>
          </w:tcPr>
          <w:p w14:paraId="3EA104A4">
            <w:pPr>
              <w:widowControl/>
              <w:spacing w:line="360" w:lineRule="exact"/>
              <w:rPr>
                <w:rFonts w:ascii="宋体" w:hAnsi="宋体" w:cs="宋体"/>
                <w:kern w:val="0"/>
                <w:sz w:val="24"/>
              </w:rPr>
            </w:pPr>
            <w:r>
              <w:rPr>
                <w:rFonts w:hint="eastAsia" w:ascii="宋体" w:hAnsi="宋体" w:cs="宋体"/>
                <w:kern w:val="0"/>
                <w:sz w:val="24"/>
              </w:rPr>
              <w:t>按展开面积计算，面积由项目部确定，绘在房屋征收验收单上，项目部盖章。</w:t>
            </w:r>
          </w:p>
        </w:tc>
      </w:tr>
      <w:tr w14:paraId="7D90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95" w:type="dxa"/>
            <w:vMerge w:val="continue"/>
            <w:noWrap w:val="0"/>
            <w:vAlign w:val="center"/>
          </w:tcPr>
          <w:p w14:paraId="5CFE09DD">
            <w:pPr>
              <w:widowControl/>
              <w:spacing w:line="360" w:lineRule="exact"/>
              <w:jc w:val="left"/>
              <w:rPr>
                <w:rFonts w:ascii="宋体" w:hAnsi="宋体" w:cs="宋体"/>
                <w:kern w:val="0"/>
                <w:sz w:val="24"/>
                <w:u w:val="single"/>
              </w:rPr>
            </w:pPr>
          </w:p>
        </w:tc>
        <w:tc>
          <w:tcPr>
            <w:tcW w:w="2430" w:type="dxa"/>
            <w:noWrap w:val="0"/>
            <w:vAlign w:val="center"/>
          </w:tcPr>
          <w:p w14:paraId="6D91223B">
            <w:pPr>
              <w:widowControl/>
              <w:spacing w:line="360" w:lineRule="exact"/>
              <w:jc w:val="center"/>
              <w:rPr>
                <w:rFonts w:ascii="宋体" w:hAnsi="宋体" w:cs="宋体"/>
                <w:kern w:val="0"/>
                <w:sz w:val="24"/>
              </w:rPr>
            </w:pPr>
            <w:r>
              <w:rPr>
                <w:rFonts w:hint="eastAsia" w:ascii="宋体" w:hAnsi="宋体" w:cs="宋体"/>
                <w:kern w:val="0"/>
                <w:sz w:val="24"/>
              </w:rPr>
              <w:t>不锈钢材质</w:t>
            </w:r>
          </w:p>
        </w:tc>
        <w:tc>
          <w:tcPr>
            <w:tcW w:w="2225" w:type="dxa"/>
            <w:noWrap w:val="0"/>
            <w:vAlign w:val="center"/>
          </w:tcPr>
          <w:p w14:paraId="74A7EABE">
            <w:pPr>
              <w:widowControl/>
              <w:spacing w:line="360" w:lineRule="exact"/>
              <w:jc w:val="center"/>
              <w:rPr>
                <w:rFonts w:hint="eastAsia" w:ascii="宋体" w:hAnsi="宋体" w:cs="宋体"/>
                <w:kern w:val="0"/>
                <w:sz w:val="24"/>
              </w:rPr>
            </w:pPr>
            <w:r>
              <w:rPr>
                <w:rFonts w:hint="eastAsia" w:ascii="宋体" w:hAnsi="宋体" w:cs="宋体"/>
                <w:kern w:val="0"/>
                <w:sz w:val="24"/>
              </w:rPr>
              <w:t>180元/平方米</w:t>
            </w:r>
          </w:p>
        </w:tc>
        <w:tc>
          <w:tcPr>
            <w:tcW w:w="2514" w:type="dxa"/>
            <w:vMerge w:val="continue"/>
            <w:noWrap w:val="0"/>
            <w:vAlign w:val="center"/>
          </w:tcPr>
          <w:p w14:paraId="366A0343">
            <w:pPr>
              <w:widowControl/>
              <w:spacing w:line="360" w:lineRule="exact"/>
              <w:jc w:val="center"/>
              <w:rPr>
                <w:rFonts w:ascii="宋体" w:hAnsi="宋体" w:cs="宋体"/>
                <w:kern w:val="0"/>
                <w:sz w:val="24"/>
                <w:u w:val="single"/>
              </w:rPr>
            </w:pPr>
          </w:p>
        </w:tc>
      </w:tr>
      <w:tr w14:paraId="7C65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95" w:type="dxa"/>
            <w:noWrap w:val="0"/>
            <w:vAlign w:val="center"/>
          </w:tcPr>
          <w:p w14:paraId="4D322552">
            <w:pPr>
              <w:widowControl/>
              <w:spacing w:line="360" w:lineRule="exact"/>
              <w:jc w:val="center"/>
              <w:rPr>
                <w:rFonts w:ascii="宋体" w:hAnsi="宋体" w:cs="宋体"/>
                <w:kern w:val="0"/>
                <w:sz w:val="24"/>
              </w:rPr>
            </w:pPr>
            <w:r>
              <w:rPr>
                <w:rFonts w:hint="eastAsia" w:ascii="宋体" w:hAnsi="宋体" w:cs="宋体"/>
                <w:kern w:val="0"/>
                <w:sz w:val="24"/>
              </w:rPr>
              <w:t>吊脚楼</w:t>
            </w:r>
          </w:p>
        </w:tc>
        <w:tc>
          <w:tcPr>
            <w:tcW w:w="2430" w:type="dxa"/>
            <w:noWrap w:val="0"/>
            <w:vAlign w:val="center"/>
          </w:tcPr>
          <w:p w14:paraId="11BB0CC8">
            <w:pPr>
              <w:widowControl/>
              <w:spacing w:line="360" w:lineRule="exact"/>
              <w:jc w:val="center"/>
              <w:rPr>
                <w:rFonts w:ascii="宋体" w:hAnsi="宋体" w:cs="宋体"/>
                <w:kern w:val="0"/>
                <w:sz w:val="24"/>
              </w:rPr>
            </w:pPr>
            <w:r>
              <w:rPr>
                <w:rFonts w:hint="eastAsia" w:ascii="宋体" w:hAnsi="宋体" w:cs="宋体"/>
                <w:kern w:val="0"/>
                <w:sz w:val="24"/>
              </w:rPr>
              <w:t>　</w:t>
            </w:r>
          </w:p>
        </w:tc>
        <w:tc>
          <w:tcPr>
            <w:tcW w:w="2225" w:type="dxa"/>
            <w:noWrap w:val="0"/>
            <w:vAlign w:val="center"/>
          </w:tcPr>
          <w:p w14:paraId="27C2C91D">
            <w:pPr>
              <w:widowControl/>
              <w:spacing w:line="360" w:lineRule="exact"/>
              <w:jc w:val="center"/>
              <w:rPr>
                <w:rFonts w:hint="eastAsia" w:ascii="宋体" w:hAnsi="宋体" w:cs="宋体"/>
                <w:kern w:val="0"/>
                <w:sz w:val="24"/>
              </w:rPr>
            </w:pPr>
            <w:r>
              <w:rPr>
                <w:rFonts w:hint="eastAsia" w:ascii="宋体" w:hAnsi="宋体" w:cs="宋体"/>
                <w:kern w:val="0"/>
                <w:sz w:val="24"/>
              </w:rPr>
              <w:t>1200元/个</w:t>
            </w:r>
          </w:p>
        </w:tc>
        <w:tc>
          <w:tcPr>
            <w:tcW w:w="2514" w:type="dxa"/>
            <w:noWrap w:val="0"/>
            <w:vAlign w:val="center"/>
          </w:tcPr>
          <w:p w14:paraId="6A2B6AAC">
            <w:pPr>
              <w:widowControl/>
              <w:spacing w:line="360" w:lineRule="exact"/>
              <w:jc w:val="center"/>
              <w:rPr>
                <w:rFonts w:ascii="宋体" w:hAnsi="宋体" w:cs="宋体"/>
                <w:kern w:val="0"/>
                <w:sz w:val="24"/>
              </w:rPr>
            </w:pPr>
            <w:r>
              <w:rPr>
                <w:rFonts w:hint="eastAsia" w:ascii="宋体" w:hAnsi="宋体" w:cs="宋体"/>
                <w:kern w:val="0"/>
                <w:sz w:val="24"/>
              </w:rPr>
              <w:t>　</w:t>
            </w:r>
          </w:p>
        </w:tc>
      </w:tr>
      <w:tr w14:paraId="2CCB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95" w:type="dxa"/>
            <w:noWrap w:val="0"/>
            <w:vAlign w:val="center"/>
          </w:tcPr>
          <w:p w14:paraId="2C9C82A3">
            <w:pPr>
              <w:widowControl/>
              <w:spacing w:line="360" w:lineRule="exact"/>
              <w:jc w:val="center"/>
              <w:rPr>
                <w:rFonts w:ascii="宋体" w:hAnsi="宋体" w:cs="宋体"/>
                <w:kern w:val="0"/>
                <w:sz w:val="24"/>
              </w:rPr>
            </w:pPr>
            <w:r>
              <w:rPr>
                <w:rFonts w:hint="eastAsia" w:ascii="宋体" w:hAnsi="宋体" w:cs="宋体"/>
                <w:kern w:val="0"/>
                <w:sz w:val="24"/>
              </w:rPr>
              <w:t>外挑</w:t>
            </w:r>
          </w:p>
        </w:tc>
        <w:tc>
          <w:tcPr>
            <w:tcW w:w="2430" w:type="dxa"/>
            <w:noWrap w:val="0"/>
            <w:vAlign w:val="center"/>
          </w:tcPr>
          <w:p w14:paraId="6C512A9D">
            <w:pPr>
              <w:widowControl/>
              <w:spacing w:line="360" w:lineRule="exact"/>
              <w:jc w:val="center"/>
              <w:rPr>
                <w:rFonts w:ascii="宋体" w:hAnsi="宋体" w:cs="宋体"/>
                <w:kern w:val="0"/>
                <w:sz w:val="24"/>
              </w:rPr>
            </w:pPr>
            <w:r>
              <w:rPr>
                <w:rFonts w:hint="eastAsia" w:ascii="宋体" w:hAnsi="宋体" w:cs="宋体"/>
                <w:kern w:val="0"/>
                <w:sz w:val="24"/>
              </w:rPr>
              <w:t>　</w:t>
            </w:r>
          </w:p>
        </w:tc>
        <w:tc>
          <w:tcPr>
            <w:tcW w:w="2225" w:type="dxa"/>
            <w:noWrap w:val="0"/>
            <w:vAlign w:val="center"/>
          </w:tcPr>
          <w:p w14:paraId="26A988EB">
            <w:pPr>
              <w:widowControl/>
              <w:spacing w:line="360" w:lineRule="exact"/>
              <w:jc w:val="center"/>
              <w:rPr>
                <w:rFonts w:hint="eastAsia" w:ascii="宋体" w:hAnsi="宋体" w:cs="宋体"/>
                <w:kern w:val="0"/>
                <w:sz w:val="24"/>
              </w:rPr>
            </w:pPr>
            <w:r>
              <w:rPr>
                <w:rFonts w:hint="eastAsia" w:ascii="宋体" w:hAnsi="宋体" w:cs="宋体"/>
                <w:kern w:val="0"/>
                <w:sz w:val="24"/>
              </w:rPr>
              <w:t>800元/个</w:t>
            </w:r>
          </w:p>
        </w:tc>
        <w:tc>
          <w:tcPr>
            <w:tcW w:w="2514" w:type="dxa"/>
            <w:noWrap w:val="0"/>
            <w:vAlign w:val="center"/>
          </w:tcPr>
          <w:p w14:paraId="4CEB53C6">
            <w:pPr>
              <w:widowControl/>
              <w:spacing w:line="360" w:lineRule="exact"/>
              <w:jc w:val="center"/>
              <w:rPr>
                <w:rFonts w:ascii="宋体" w:hAnsi="宋体" w:cs="宋体"/>
                <w:kern w:val="0"/>
                <w:sz w:val="24"/>
              </w:rPr>
            </w:pPr>
            <w:r>
              <w:rPr>
                <w:rFonts w:hint="eastAsia" w:ascii="宋体" w:hAnsi="宋体" w:cs="宋体"/>
                <w:kern w:val="0"/>
                <w:sz w:val="24"/>
              </w:rPr>
              <w:t>　</w:t>
            </w:r>
          </w:p>
        </w:tc>
      </w:tr>
      <w:tr w14:paraId="1B17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95" w:type="dxa"/>
            <w:vMerge w:val="restart"/>
            <w:noWrap w:val="0"/>
            <w:vAlign w:val="center"/>
          </w:tcPr>
          <w:p w14:paraId="441B4EFF">
            <w:pPr>
              <w:widowControl/>
              <w:spacing w:line="360" w:lineRule="exact"/>
              <w:jc w:val="center"/>
              <w:rPr>
                <w:rFonts w:ascii="宋体" w:hAnsi="宋体" w:cs="宋体"/>
                <w:kern w:val="0"/>
                <w:sz w:val="24"/>
              </w:rPr>
            </w:pPr>
            <w:r>
              <w:rPr>
                <w:rFonts w:hint="eastAsia" w:ascii="宋体" w:hAnsi="宋体" w:cs="宋体"/>
                <w:kern w:val="0"/>
                <w:sz w:val="24"/>
              </w:rPr>
              <w:t>棚子</w:t>
            </w:r>
          </w:p>
        </w:tc>
        <w:tc>
          <w:tcPr>
            <w:tcW w:w="2430" w:type="dxa"/>
            <w:noWrap w:val="0"/>
            <w:vAlign w:val="center"/>
          </w:tcPr>
          <w:p w14:paraId="5A3CAAB4">
            <w:pPr>
              <w:widowControl/>
              <w:spacing w:line="360" w:lineRule="exact"/>
              <w:jc w:val="center"/>
              <w:rPr>
                <w:rFonts w:ascii="宋体" w:hAnsi="宋体" w:cs="宋体"/>
                <w:kern w:val="0"/>
                <w:sz w:val="24"/>
              </w:rPr>
            </w:pPr>
            <w:r>
              <w:rPr>
                <w:rFonts w:hint="eastAsia" w:ascii="宋体" w:hAnsi="宋体" w:cs="宋体"/>
                <w:kern w:val="0"/>
                <w:sz w:val="24"/>
              </w:rPr>
              <w:t>钢材结构</w:t>
            </w:r>
          </w:p>
        </w:tc>
        <w:tc>
          <w:tcPr>
            <w:tcW w:w="2225" w:type="dxa"/>
            <w:noWrap w:val="0"/>
            <w:vAlign w:val="center"/>
          </w:tcPr>
          <w:p w14:paraId="777EA3E1">
            <w:pPr>
              <w:widowControl/>
              <w:spacing w:line="360" w:lineRule="exact"/>
              <w:jc w:val="center"/>
              <w:rPr>
                <w:rFonts w:hint="eastAsia" w:ascii="宋体" w:hAnsi="宋体" w:cs="宋体"/>
                <w:kern w:val="0"/>
                <w:sz w:val="24"/>
              </w:rPr>
            </w:pPr>
            <w:r>
              <w:rPr>
                <w:rFonts w:hint="eastAsia" w:ascii="宋体" w:hAnsi="宋体" w:cs="宋体"/>
                <w:kern w:val="0"/>
                <w:sz w:val="24"/>
              </w:rPr>
              <w:t>120元/平方米</w:t>
            </w:r>
          </w:p>
        </w:tc>
        <w:tc>
          <w:tcPr>
            <w:tcW w:w="2514" w:type="dxa"/>
            <w:vMerge w:val="restart"/>
            <w:noWrap w:val="0"/>
            <w:vAlign w:val="center"/>
          </w:tcPr>
          <w:p w14:paraId="25CAE379">
            <w:pPr>
              <w:widowControl/>
              <w:spacing w:line="360" w:lineRule="exact"/>
              <w:jc w:val="left"/>
              <w:rPr>
                <w:rFonts w:ascii="宋体" w:hAnsi="宋体" w:cs="宋体"/>
                <w:kern w:val="0"/>
                <w:sz w:val="24"/>
              </w:rPr>
            </w:pPr>
            <w:r>
              <w:rPr>
                <w:rFonts w:hint="eastAsia" w:ascii="宋体" w:hAnsi="宋体" w:cs="宋体"/>
                <w:kern w:val="0"/>
                <w:sz w:val="24"/>
              </w:rPr>
              <w:t>面积由具有相应资质的测绘单位测绘确定。</w:t>
            </w:r>
          </w:p>
        </w:tc>
      </w:tr>
      <w:tr w14:paraId="015A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95" w:type="dxa"/>
            <w:vMerge w:val="continue"/>
            <w:noWrap w:val="0"/>
            <w:vAlign w:val="center"/>
          </w:tcPr>
          <w:p w14:paraId="02830D75">
            <w:pPr>
              <w:widowControl/>
              <w:jc w:val="left"/>
              <w:rPr>
                <w:rFonts w:ascii="宋体" w:hAnsi="宋体" w:cs="宋体"/>
                <w:kern w:val="0"/>
                <w:sz w:val="24"/>
              </w:rPr>
            </w:pPr>
          </w:p>
        </w:tc>
        <w:tc>
          <w:tcPr>
            <w:tcW w:w="2430" w:type="dxa"/>
            <w:noWrap w:val="0"/>
            <w:vAlign w:val="center"/>
          </w:tcPr>
          <w:p w14:paraId="467B6C18">
            <w:pPr>
              <w:widowControl/>
              <w:jc w:val="center"/>
              <w:rPr>
                <w:rFonts w:ascii="宋体" w:hAnsi="宋体" w:cs="宋体"/>
                <w:kern w:val="0"/>
                <w:sz w:val="24"/>
              </w:rPr>
            </w:pPr>
            <w:r>
              <w:rPr>
                <w:rFonts w:hint="eastAsia" w:ascii="宋体" w:hAnsi="宋体" w:cs="宋体"/>
                <w:kern w:val="0"/>
                <w:sz w:val="24"/>
              </w:rPr>
              <w:t>其他结构</w:t>
            </w:r>
          </w:p>
        </w:tc>
        <w:tc>
          <w:tcPr>
            <w:tcW w:w="2225" w:type="dxa"/>
            <w:noWrap w:val="0"/>
            <w:vAlign w:val="center"/>
          </w:tcPr>
          <w:p w14:paraId="07AAF27D">
            <w:pPr>
              <w:widowControl/>
              <w:jc w:val="center"/>
              <w:rPr>
                <w:rFonts w:ascii="宋体" w:hAnsi="宋体" w:cs="宋体"/>
                <w:kern w:val="0"/>
                <w:sz w:val="24"/>
              </w:rPr>
            </w:pPr>
            <w:r>
              <w:rPr>
                <w:rFonts w:hint="eastAsia" w:ascii="宋体" w:hAnsi="宋体" w:cs="宋体"/>
                <w:kern w:val="0"/>
                <w:sz w:val="24"/>
              </w:rPr>
              <w:t>80元/平方米</w:t>
            </w:r>
          </w:p>
        </w:tc>
        <w:tc>
          <w:tcPr>
            <w:tcW w:w="2514" w:type="dxa"/>
            <w:vMerge w:val="continue"/>
            <w:noWrap w:val="0"/>
            <w:vAlign w:val="center"/>
          </w:tcPr>
          <w:p w14:paraId="39E887CB">
            <w:pPr>
              <w:widowControl/>
              <w:jc w:val="left"/>
              <w:rPr>
                <w:rFonts w:ascii="宋体" w:hAnsi="宋体" w:cs="宋体"/>
                <w:kern w:val="0"/>
                <w:sz w:val="24"/>
              </w:rPr>
            </w:pPr>
          </w:p>
        </w:tc>
      </w:tr>
    </w:tbl>
    <w:p w14:paraId="3060FB5F">
      <w:pPr>
        <w:spacing w:line="120" w:lineRule="exact"/>
        <w:ind w:firstLine="640" w:firstLineChars="200"/>
        <w:rPr>
          <w:rFonts w:hint="eastAsia" w:ascii="仿宋_GB2312" w:hAnsi="仿宋_GB2312" w:eastAsia="仿宋_GB2312" w:cs="仿宋_GB2312"/>
          <w:sz w:val="32"/>
        </w:rPr>
      </w:pPr>
    </w:p>
    <w:p w14:paraId="0310C7A9">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被征收人、公有房屋承租人不同意按照上述标准补偿的，由该项目选定的房地产价格评估机构评估确定。</w:t>
      </w:r>
    </w:p>
    <w:p w14:paraId="146E1B00">
      <w:pPr>
        <w:snapToGrid w:val="0"/>
        <w:spacing w:line="52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（三）附属物的补偿</w:t>
      </w:r>
    </w:p>
    <w:p w14:paraId="76499B00">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附属物的征收补偿由选定的房地产价格评估机构评估确定。</w:t>
      </w:r>
    </w:p>
    <w:p w14:paraId="07BFA192">
      <w:pPr>
        <w:snapToGrid w:val="0"/>
        <w:spacing w:line="52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（四）附属设施的补偿</w:t>
      </w:r>
    </w:p>
    <w:p w14:paraId="2920A2AB">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1.电话移机费：每部216元；</w:t>
      </w:r>
    </w:p>
    <w:p w14:paraId="0449DA44">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2.有线电视复装费：每户380元；</w:t>
      </w:r>
    </w:p>
    <w:p w14:paraId="480D0D48">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3.宽带上网：凭报装单据补偿每户308元；</w:t>
      </w:r>
    </w:p>
    <w:p w14:paraId="35D22DCA">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4.电热水器、燃气热水器移机费：每台200元；</w:t>
      </w:r>
    </w:p>
    <w:p w14:paraId="3B35F46D">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5.水表迁移费：独表每块200元，分表每块80元；</w:t>
      </w:r>
    </w:p>
    <w:p w14:paraId="3AD525DD">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6.电表迁移费：独表每块480元，分时电表每块780元，分表每块100元；</w:t>
      </w:r>
    </w:p>
    <w:p w14:paraId="2E10D069">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7.空调移机费：窗机每台200元、分体机每台300元、柜机每台500元；</w:t>
      </w:r>
    </w:p>
    <w:p w14:paraId="6747A144">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以上7项按打包价3000元进行补偿，超过3000元打包价的按票据据实结算。</w:t>
      </w:r>
    </w:p>
    <w:p w14:paraId="00AEC389">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8.太阳能热水器、地暖、水暖设施由评估公司确定补偿价值；</w:t>
      </w:r>
    </w:p>
    <w:p w14:paraId="2F28F5DD">
      <w:pPr>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9.管道煤气迁移费：每户2400元。</w:t>
      </w:r>
    </w:p>
    <w:p w14:paraId="3D5B5F23">
      <w:pPr>
        <w:spacing w:line="520" w:lineRule="exact"/>
        <w:ind w:firstLine="640" w:firstLineChars="200"/>
        <w:rPr>
          <w:rFonts w:hint="eastAsia" w:ascii="黑体" w:hAnsi="黑体" w:eastAsia="黑体" w:cs="黑体"/>
          <w:sz w:val="32"/>
        </w:rPr>
      </w:pPr>
      <w:r>
        <w:rPr>
          <w:rFonts w:hint="eastAsia" w:ascii="黑体" w:hAnsi="黑体" w:eastAsia="黑体" w:cs="黑体"/>
          <w:sz w:val="32"/>
        </w:rPr>
        <w:t>六、奖励</w:t>
      </w:r>
    </w:p>
    <w:p w14:paraId="43B4B86C">
      <w:pPr>
        <w:spacing w:line="520" w:lineRule="exact"/>
        <w:ind w:firstLine="640" w:firstLineChars="200"/>
        <w:rPr>
          <w:rFonts w:hint="eastAsia" w:ascii="楷体" w:hAnsi="楷体" w:eastAsia="楷体" w:cs="楷体"/>
          <w:sz w:val="32"/>
        </w:rPr>
      </w:pPr>
      <w:r>
        <w:rPr>
          <w:rFonts w:hint="eastAsia" w:ascii="楷体" w:hAnsi="楷体" w:eastAsia="楷体" w:cs="楷体"/>
          <w:sz w:val="32"/>
        </w:rPr>
        <w:t>（一）个人住宅房屋签约奖励</w:t>
      </w:r>
    </w:p>
    <w:p w14:paraId="78E2A948">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凡在签约期限内，选择产权调换方式签约的被征收人、公有房屋承租人，按照被征收房屋价值2</w:t>
      </w:r>
      <w:r>
        <w:rPr>
          <w:rFonts w:ascii="仿宋_GB2312" w:hAnsi="仿宋_GB2312" w:eastAsia="仿宋_GB2312" w:cs="仿宋_GB2312"/>
          <w:sz w:val="32"/>
        </w:rPr>
        <w:t>%</w:t>
      </w:r>
      <w:r>
        <w:rPr>
          <w:rFonts w:hint="eastAsia" w:ascii="仿宋_GB2312" w:hAnsi="仿宋_GB2312" w:eastAsia="仿宋_GB2312" w:cs="仿宋_GB2312"/>
          <w:sz w:val="32"/>
        </w:rPr>
        <w:t>的标准给予奖励。</w:t>
      </w:r>
    </w:p>
    <w:p w14:paraId="780DE61E">
      <w:pPr>
        <w:spacing w:line="520" w:lineRule="exact"/>
        <w:ind w:firstLine="640" w:firstLineChars="200"/>
        <w:rPr>
          <w:rFonts w:hint="eastAsia" w:ascii="楷体" w:hAnsi="楷体" w:eastAsia="楷体" w:cs="楷体"/>
          <w:sz w:val="32"/>
        </w:rPr>
      </w:pPr>
      <w:r>
        <w:rPr>
          <w:rFonts w:hint="eastAsia" w:ascii="楷体" w:hAnsi="楷体" w:eastAsia="楷体" w:cs="楷体"/>
          <w:sz w:val="32"/>
        </w:rPr>
        <w:t>（二）非住宅房屋签约奖励</w:t>
      </w:r>
    </w:p>
    <w:p w14:paraId="751AC341">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在签约期限内签订补偿协议的，给予其签约奖励，标准为：</w:t>
      </w:r>
    </w:p>
    <w:p w14:paraId="64AEA5FA">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被征收房屋建筑面积（包括未经登记建筑）小于1000平方米的,奖励人民币</w:t>
      </w:r>
      <w:r>
        <w:rPr>
          <w:rFonts w:ascii="仿宋_GB2312" w:hAnsi="仿宋_GB2312" w:eastAsia="仿宋_GB2312" w:cs="仿宋_GB2312"/>
          <w:sz w:val="32"/>
        </w:rPr>
        <w:t>5</w:t>
      </w:r>
      <w:r>
        <w:rPr>
          <w:rFonts w:hint="eastAsia" w:ascii="仿宋_GB2312" w:hAnsi="仿宋_GB2312" w:eastAsia="仿宋_GB2312" w:cs="仿宋_GB2312"/>
          <w:sz w:val="32"/>
        </w:rPr>
        <w:t>000元/户；被征收房屋建筑面积大于等于1000平方米小于2000平方米的，奖励人民币</w:t>
      </w:r>
      <w:r>
        <w:rPr>
          <w:rFonts w:ascii="仿宋_GB2312" w:hAnsi="仿宋_GB2312" w:eastAsia="仿宋_GB2312" w:cs="仿宋_GB2312"/>
          <w:sz w:val="32"/>
        </w:rPr>
        <w:t>1</w:t>
      </w:r>
      <w:r>
        <w:rPr>
          <w:rFonts w:hint="eastAsia" w:ascii="仿宋_GB2312" w:hAnsi="仿宋_GB2312" w:eastAsia="仿宋_GB2312" w:cs="仿宋_GB2312"/>
          <w:sz w:val="32"/>
        </w:rPr>
        <w:t>0000元/户；被征收房屋建筑面积大于等于2000平方米小于5000平方米的，奖励人民币</w:t>
      </w:r>
      <w:r>
        <w:rPr>
          <w:rFonts w:ascii="仿宋_GB2312" w:hAnsi="仿宋_GB2312" w:eastAsia="仿宋_GB2312" w:cs="仿宋_GB2312"/>
          <w:sz w:val="32"/>
        </w:rPr>
        <w:t>2</w:t>
      </w:r>
      <w:r>
        <w:rPr>
          <w:rFonts w:hint="eastAsia" w:ascii="仿宋_GB2312" w:hAnsi="仿宋_GB2312" w:eastAsia="仿宋_GB2312" w:cs="仿宋_GB2312"/>
          <w:sz w:val="32"/>
        </w:rPr>
        <w:t>0000元/户；被</w:t>
      </w:r>
      <w:r>
        <w:rPr>
          <w:rFonts w:hint="eastAsia" w:ascii="仿宋_GB2312" w:hAnsi="仿宋_GB2312" w:eastAsia="仿宋_GB2312" w:cs="仿宋_GB2312"/>
          <w:spacing w:val="-6"/>
          <w:sz w:val="32"/>
        </w:rPr>
        <w:t>征收房屋建筑面积大于等于5000平方米的,奖励人民币</w:t>
      </w:r>
      <w:r>
        <w:rPr>
          <w:rFonts w:ascii="仿宋_GB2312" w:hAnsi="仿宋_GB2312" w:eastAsia="仿宋_GB2312" w:cs="仿宋_GB2312"/>
          <w:spacing w:val="-6"/>
          <w:sz w:val="32"/>
        </w:rPr>
        <w:t>4</w:t>
      </w:r>
      <w:r>
        <w:rPr>
          <w:rFonts w:hint="eastAsia" w:ascii="仿宋_GB2312" w:hAnsi="仿宋_GB2312" w:eastAsia="仿宋_GB2312" w:cs="仿宋_GB2312"/>
          <w:spacing w:val="-6"/>
          <w:sz w:val="32"/>
        </w:rPr>
        <w:t>0000元/户</w:t>
      </w:r>
      <w:r>
        <w:rPr>
          <w:rFonts w:hint="eastAsia" w:ascii="仿宋_GB2312" w:hAnsi="仿宋_GB2312" w:eastAsia="仿宋_GB2312" w:cs="仿宋_GB2312"/>
          <w:sz w:val="32"/>
        </w:rPr>
        <w:t>。</w:t>
      </w:r>
    </w:p>
    <w:p w14:paraId="015762BF">
      <w:pPr>
        <w:spacing w:line="520" w:lineRule="exact"/>
        <w:ind w:firstLine="640" w:firstLineChars="200"/>
        <w:rPr>
          <w:rFonts w:hint="eastAsia" w:ascii="黑体" w:hAnsi="宋体" w:eastAsia="黑体"/>
          <w:sz w:val="32"/>
        </w:rPr>
      </w:pPr>
      <w:r>
        <w:rPr>
          <w:rFonts w:hint="eastAsia" w:ascii="黑体" w:hAnsi="宋体" w:eastAsia="黑体"/>
          <w:sz w:val="32"/>
        </w:rPr>
        <w:t>七、其他事项</w:t>
      </w:r>
    </w:p>
    <w:p w14:paraId="72F9E2D5">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（一）本方案未尽事宜按照国家及武汉市有关政策执行 </w:t>
      </w:r>
    </w:p>
    <w:p w14:paraId="6D660FE2">
      <w:pPr>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 xml:space="preserve">（二）本方案由武汉市青山区住房和城市更新局负责解释 </w:t>
      </w:r>
    </w:p>
    <w:p w14:paraId="2EF062DB">
      <w:pPr>
        <w:spacing w:line="520" w:lineRule="exact"/>
        <w:ind w:firstLine="640" w:firstLineChars="200"/>
        <w:rPr>
          <w:rFonts w:ascii="仿宋_GB2312" w:hAnsi="仿宋_GB2312" w:eastAsia="仿宋_GB2312" w:cs="仿宋_GB2312"/>
          <w:sz w:val="32"/>
        </w:rPr>
      </w:pPr>
    </w:p>
    <w:p w14:paraId="7C467FC4">
      <w:pPr>
        <w:spacing w:line="520" w:lineRule="exact"/>
        <w:ind w:firstLine="640" w:firstLineChars="200"/>
        <w:rPr>
          <w:rFonts w:ascii="楷体" w:hAnsi="楷体" w:eastAsia="楷体" w:cs="楷体"/>
          <w:sz w:val="32"/>
        </w:rPr>
      </w:pPr>
    </w:p>
    <w:p w14:paraId="356A7033">
      <w:pPr>
        <w:spacing w:line="520" w:lineRule="exact"/>
        <w:ind w:firstLine="640" w:firstLineChars="200"/>
        <w:rPr>
          <w:rFonts w:ascii="楷体" w:hAnsi="楷体" w:eastAsia="楷体" w:cs="楷体"/>
          <w:sz w:val="32"/>
        </w:rPr>
      </w:pPr>
    </w:p>
    <w:p w14:paraId="5767D522">
      <w:pPr>
        <w:spacing w:line="520" w:lineRule="exact"/>
        <w:ind w:firstLine="5244" w:firstLineChars="1639"/>
        <w:rPr>
          <w:rFonts w:hint="eastAsia" w:ascii="仿宋_GB2312" w:hAnsi="仿宋" w:eastAsia="仿宋_GB2312" w:cs="楷体"/>
          <w:sz w:val="32"/>
        </w:rPr>
      </w:pPr>
      <w:r>
        <w:rPr>
          <w:rFonts w:hint="eastAsia" w:ascii="仿宋_GB2312" w:hAnsi="仿宋" w:eastAsia="仿宋_GB2312" w:cs="楷体"/>
          <w:sz w:val="32"/>
        </w:rPr>
        <w:t>武汉市青山区人民政府</w:t>
      </w:r>
    </w:p>
    <w:p w14:paraId="33779B63">
      <w:pPr>
        <w:spacing w:line="520" w:lineRule="exact"/>
        <w:ind w:firstLine="5811" w:firstLineChars="1816"/>
        <w:rPr>
          <w:rFonts w:hint="eastAsia" w:ascii="仿宋_GB2312" w:hAnsi="仿宋" w:eastAsia="仿宋_GB2312" w:cs="楷体"/>
          <w:sz w:val="32"/>
        </w:rPr>
      </w:pPr>
      <w:r>
        <w:rPr>
          <w:rFonts w:hint="eastAsia" w:ascii="仿宋_GB2312" w:hAnsi="仿宋" w:eastAsia="仿宋_GB2312" w:cs="楷体"/>
          <w:sz w:val="32"/>
        </w:rPr>
        <w:t>2025年</w:t>
      </w:r>
      <w:r>
        <w:rPr>
          <w:rFonts w:hint="eastAsia" w:ascii="仿宋_GB2312" w:hAnsi="仿宋" w:eastAsia="仿宋_GB2312" w:cs="楷体"/>
          <w:sz w:val="32"/>
          <w:lang w:val="en-US" w:eastAsia="zh-CN"/>
        </w:rPr>
        <w:t>10</w:t>
      </w:r>
      <w:r>
        <w:rPr>
          <w:rFonts w:hint="eastAsia" w:ascii="仿宋_GB2312" w:hAnsi="仿宋" w:eastAsia="仿宋_GB2312" w:cs="楷体"/>
          <w:sz w:val="32"/>
        </w:rPr>
        <w:t>月</w:t>
      </w:r>
      <w:r>
        <w:rPr>
          <w:rFonts w:hint="eastAsia" w:ascii="仿宋_GB2312" w:hAnsi="仿宋" w:eastAsia="仿宋_GB2312" w:cs="楷体"/>
          <w:sz w:val="32"/>
          <w:lang w:val="en-US" w:eastAsia="zh-CN"/>
        </w:rPr>
        <w:t>23</w:t>
      </w:r>
      <w:r>
        <w:rPr>
          <w:rFonts w:hint="eastAsia" w:ascii="仿宋_GB2312" w:hAnsi="仿宋" w:eastAsia="仿宋_GB2312" w:cs="楷体"/>
          <w:sz w:val="32"/>
        </w:rPr>
        <w:t>日</w:t>
      </w:r>
    </w:p>
    <w:p w14:paraId="22AC96CE">
      <w:pPr>
        <w:spacing w:line="520" w:lineRule="exact"/>
        <w:jc w:val="left"/>
        <w:rPr>
          <w:rFonts w:ascii="仿宋" w:hAnsi="仿宋" w:eastAsia="仿宋" w:cs="仿宋"/>
          <w:sz w:val="32"/>
          <w:szCs w:val="32"/>
        </w:rPr>
      </w:pPr>
    </w:p>
    <w:p w14:paraId="56549DBF">
      <w:pPr>
        <w:spacing w:line="520" w:lineRule="exact"/>
        <w:ind w:firstLine="640" w:firstLineChars="200"/>
        <w:jc w:val="left"/>
        <w:rPr>
          <w:rFonts w:hint="eastAsia" w:ascii="仿宋" w:hAnsi="仿宋" w:eastAsia="仿宋" w:cs="仿宋"/>
          <w:sz w:val="32"/>
        </w:rPr>
      </w:pPr>
    </w:p>
    <w:sectPr>
      <w:headerReference r:id="rId3" w:type="default"/>
      <w:footerReference r:id="rId4" w:type="default"/>
      <w:footerReference r:id="rId5" w:type="even"/>
      <w:pgSz w:w="11906" w:h="16838"/>
      <w:pgMar w:top="1701" w:right="1474" w:bottom="1587"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763169-22BB-497C-BC04-999AE1D724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D73F533-FD56-4AD9-A4AA-22057C60A31F}"/>
  </w:font>
  <w:font w:name="方正小标宋简体">
    <w:panose1 w:val="03000509000000000000"/>
    <w:charset w:val="86"/>
    <w:family w:val="script"/>
    <w:pitch w:val="default"/>
    <w:sig w:usb0="00000001" w:usb1="080E0000" w:usb2="00000000" w:usb3="00000000" w:csb0="00040000" w:csb1="00000000"/>
    <w:embedRegular r:id="rId3" w:fontKey="{47F360A9-92A4-4A72-A083-B3AB3F296527}"/>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4" w:fontKey="{0064C5FD-BF0F-42E4-B3A1-9826F39AC4AA}"/>
  </w:font>
  <w:font w:name="仿宋">
    <w:panose1 w:val="02010609060101010101"/>
    <w:charset w:val="86"/>
    <w:family w:val="modern"/>
    <w:pitch w:val="default"/>
    <w:sig w:usb0="800002BF" w:usb1="38CF7CFA" w:usb2="00000016" w:usb3="00000000" w:csb0="00040001" w:csb1="00000000"/>
    <w:embedRegular r:id="rId5" w:fontKey="{981183D6-048D-4F4D-9608-8777D8A026F4}"/>
  </w:font>
  <w:font w:name="楷体">
    <w:panose1 w:val="02010609060101010101"/>
    <w:charset w:val="86"/>
    <w:family w:val="modern"/>
    <w:pitch w:val="default"/>
    <w:sig w:usb0="800002BF" w:usb1="38CF7CFA" w:usb2="00000016" w:usb3="00000000" w:csb0="00040001" w:csb1="00000000"/>
    <w:embedRegular r:id="rId6" w:fontKey="{2AE6A354-7135-47AC-84F7-5A437BBDCBAD}"/>
  </w:font>
  <w:font w:name="华文仿宋">
    <w:panose1 w:val="02010600040101010101"/>
    <w:charset w:val="86"/>
    <w:family w:val="auto"/>
    <w:pitch w:val="default"/>
    <w:sig w:usb0="00000287" w:usb1="080F0000" w:usb2="00000000" w:usb3="00000000" w:csb0="0004009F" w:csb1="DFD70000"/>
    <w:embedRegular r:id="rId7" w:fontKey="{F5DC3DF7-FD24-4A35-893F-CEDBF6207607}"/>
  </w:font>
  <w:font w:name="微软雅黑">
    <w:panose1 w:val="020B0503020204020204"/>
    <w:charset w:val="86"/>
    <w:family w:val="swiss"/>
    <w:pitch w:val="default"/>
    <w:sig w:usb0="80000287" w:usb1="280F3C52" w:usb2="00000016" w:usb3="00000000" w:csb0="0004001F" w:csb1="00000000"/>
    <w:embedRegular r:id="rId8" w:fontKey="{23D85E76-99F1-438D-B1CD-95AA690C0599}"/>
  </w:font>
  <w:font w:name="楷体_GB2312">
    <w:panose1 w:val="02010609030101010101"/>
    <w:charset w:val="86"/>
    <w:family w:val="modern"/>
    <w:pitch w:val="default"/>
    <w:sig w:usb0="00000001" w:usb1="080E0000" w:usb2="00000000" w:usb3="00000000" w:csb0="00040000" w:csb1="00000000"/>
    <w:embedRegular r:id="rId9" w:fontKey="{FAFD411E-0627-4F6B-A5B1-9F2184C8A529}"/>
  </w:font>
  <w:font w:name="WPSEMBED1">
    <w:panose1 w:val="02010600040101010101"/>
    <w:charset w:val="86"/>
    <w:family w:val="auto"/>
    <w:pitch w:val="default"/>
    <w:sig w:usb0="00000287" w:usb1="080F0000" w:usb2="00000000" w:usb3="00000000" w:csb0="0004009F" w:csb1="DFD7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E9A5A">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0B51BDE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9E2B">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xml:space="preserve"> </w:t>
    </w:r>
    <w:r>
      <w:fldChar w:fldCharType="end"/>
    </w:r>
  </w:p>
  <w:p w14:paraId="59313E9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9F5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MjY2ZWFjMzI5ODcwM2E0MjEzNmM2MDA0MzI2NTUifQ=="/>
  </w:docVars>
  <w:rsids>
    <w:rsidRoot w:val="00172A27"/>
    <w:rsid w:val="000021A8"/>
    <w:rsid w:val="000065F7"/>
    <w:rsid w:val="00010AD3"/>
    <w:rsid w:val="00014506"/>
    <w:rsid w:val="00021DC2"/>
    <w:rsid w:val="00023F49"/>
    <w:rsid w:val="000247B9"/>
    <w:rsid w:val="00027D15"/>
    <w:rsid w:val="00030640"/>
    <w:rsid w:val="00034F61"/>
    <w:rsid w:val="00040383"/>
    <w:rsid w:val="00042BAB"/>
    <w:rsid w:val="0005018C"/>
    <w:rsid w:val="00050930"/>
    <w:rsid w:val="00060055"/>
    <w:rsid w:val="0006030C"/>
    <w:rsid w:val="00061751"/>
    <w:rsid w:val="00061C83"/>
    <w:rsid w:val="00070702"/>
    <w:rsid w:val="0007224D"/>
    <w:rsid w:val="00074540"/>
    <w:rsid w:val="00082291"/>
    <w:rsid w:val="00082A94"/>
    <w:rsid w:val="00086228"/>
    <w:rsid w:val="00090F61"/>
    <w:rsid w:val="00092526"/>
    <w:rsid w:val="00094E8E"/>
    <w:rsid w:val="000971C8"/>
    <w:rsid w:val="00097BF1"/>
    <w:rsid w:val="00097D2F"/>
    <w:rsid w:val="000A1DFE"/>
    <w:rsid w:val="000A2DF3"/>
    <w:rsid w:val="000A5AAB"/>
    <w:rsid w:val="000A6676"/>
    <w:rsid w:val="000A680E"/>
    <w:rsid w:val="000B52C4"/>
    <w:rsid w:val="000C16B6"/>
    <w:rsid w:val="000C26A0"/>
    <w:rsid w:val="000C6C8D"/>
    <w:rsid w:val="000C7113"/>
    <w:rsid w:val="000C7B71"/>
    <w:rsid w:val="000D6E63"/>
    <w:rsid w:val="000E4C11"/>
    <w:rsid w:val="000E654A"/>
    <w:rsid w:val="000F2612"/>
    <w:rsid w:val="000F5951"/>
    <w:rsid w:val="000F7537"/>
    <w:rsid w:val="000F7587"/>
    <w:rsid w:val="00105837"/>
    <w:rsid w:val="00106B95"/>
    <w:rsid w:val="00107E5B"/>
    <w:rsid w:val="0011343B"/>
    <w:rsid w:val="00114772"/>
    <w:rsid w:val="00120F89"/>
    <w:rsid w:val="001215A2"/>
    <w:rsid w:val="00121640"/>
    <w:rsid w:val="00122346"/>
    <w:rsid w:val="00125FD7"/>
    <w:rsid w:val="0012648B"/>
    <w:rsid w:val="00133763"/>
    <w:rsid w:val="00135BE1"/>
    <w:rsid w:val="00140C76"/>
    <w:rsid w:val="00141388"/>
    <w:rsid w:val="00146A7B"/>
    <w:rsid w:val="001560DB"/>
    <w:rsid w:val="00157000"/>
    <w:rsid w:val="0016264A"/>
    <w:rsid w:val="001637D0"/>
    <w:rsid w:val="00164FA7"/>
    <w:rsid w:val="00165050"/>
    <w:rsid w:val="00166118"/>
    <w:rsid w:val="00166F62"/>
    <w:rsid w:val="00167BF6"/>
    <w:rsid w:val="00175417"/>
    <w:rsid w:val="0017582D"/>
    <w:rsid w:val="00182F82"/>
    <w:rsid w:val="00184C35"/>
    <w:rsid w:val="00193AD8"/>
    <w:rsid w:val="00194CC8"/>
    <w:rsid w:val="0019702D"/>
    <w:rsid w:val="001A09A6"/>
    <w:rsid w:val="001A1808"/>
    <w:rsid w:val="001A2B46"/>
    <w:rsid w:val="001A3BD1"/>
    <w:rsid w:val="001A3CCC"/>
    <w:rsid w:val="001B21ED"/>
    <w:rsid w:val="001B3194"/>
    <w:rsid w:val="001B5DE6"/>
    <w:rsid w:val="001C0072"/>
    <w:rsid w:val="001C0A82"/>
    <w:rsid w:val="001C1051"/>
    <w:rsid w:val="001C232B"/>
    <w:rsid w:val="001C2369"/>
    <w:rsid w:val="001C3F6B"/>
    <w:rsid w:val="001D3721"/>
    <w:rsid w:val="001D490B"/>
    <w:rsid w:val="001D677E"/>
    <w:rsid w:val="001D769F"/>
    <w:rsid w:val="001F7EA6"/>
    <w:rsid w:val="0020575F"/>
    <w:rsid w:val="002075A8"/>
    <w:rsid w:val="00207C81"/>
    <w:rsid w:val="0021380F"/>
    <w:rsid w:val="00220D9E"/>
    <w:rsid w:val="00224B92"/>
    <w:rsid w:val="0022789E"/>
    <w:rsid w:val="002301F5"/>
    <w:rsid w:val="002328E4"/>
    <w:rsid w:val="00232DD8"/>
    <w:rsid w:val="00232F55"/>
    <w:rsid w:val="00233709"/>
    <w:rsid w:val="00234978"/>
    <w:rsid w:val="00242DA6"/>
    <w:rsid w:val="0024355D"/>
    <w:rsid w:val="0025013F"/>
    <w:rsid w:val="002521B6"/>
    <w:rsid w:val="00256340"/>
    <w:rsid w:val="002576AC"/>
    <w:rsid w:val="002635D8"/>
    <w:rsid w:val="00265323"/>
    <w:rsid w:val="002715A8"/>
    <w:rsid w:val="0027458B"/>
    <w:rsid w:val="00277F30"/>
    <w:rsid w:val="0028056A"/>
    <w:rsid w:val="0028120F"/>
    <w:rsid w:val="00282844"/>
    <w:rsid w:val="00282FD2"/>
    <w:rsid w:val="0028354A"/>
    <w:rsid w:val="00285CEB"/>
    <w:rsid w:val="00285CFB"/>
    <w:rsid w:val="00290D60"/>
    <w:rsid w:val="00291300"/>
    <w:rsid w:val="00292BAB"/>
    <w:rsid w:val="00292C32"/>
    <w:rsid w:val="002971E2"/>
    <w:rsid w:val="002A18AA"/>
    <w:rsid w:val="002A1C03"/>
    <w:rsid w:val="002A2F11"/>
    <w:rsid w:val="002A3CC8"/>
    <w:rsid w:val="002A4B40"/>
    <w:rsid w:val="002B257F"/>
    <w:rsid w:val="002B4296"/>
    <w:rsid w:val="002B4EBA"/>
    <w:rsid w:val="002B7042"/>
    <w:rsid w:val="002C03F2"/>
    <w:rsid w:val="002C1D18"/>
    <w:rsid w:val="002C33A2"/>
    <w:rsid w:val="002D0E9E"/>
    <w:rsid w:val="002D1D4A"/>
    <w:rsid w:val="002D4A59"/>
    <w:rsid w:val="002D5266"/>
    <w:rsid w:val="002D5ACA"/>
    <w:rsid w:val="002D7018"/>
    <w:rsid w:val="002D7694"/>
    <w:rsid w:val="002E04D5"/>
    <w:rsid w:val="002E4508"/>
    <w:rsid w:val="002E72A3"/>
    <w:rsid w:val="002E7664"/>
    <w:rsid w:val="003007D7"/>
    <w:rsid w:val="0030583A"/>
    <w:rsid w:val="003141A8"/>
    <w:rsid w:val="00331080"/>
    <w:rsid w:val="003320FB"/>
    <w:rsid w:val="003325BD"/>
    <w:rsid w:val="0033494B"/>
    <w:rsid w:val="00340FA6"/>
    <w:rsid w:val="00341058"/>
    <w:rsid w:val="0034453A"/>
    <w:rsid w:val="00345BB1"/>
    <w:rsid w:val="00347BCC"/>
    <w:rsid w:val="00353A65"/>
    <w:rsid w:val="0035606D"/>
    <w:rsid w:val="003648DA"/>
    <w:rsid w:val="00364CA7"/>
    <w:rsid w:val="00365FA8"/>
    <w:rsid w:val="00370786"/>
    <w:rsid w:val="00370A97"/>
    <w:rsid w:val="003711D1"/>
    <w:rsid w:val="00384F8D"/>
    <w:rsid w:val="00390726"/>
    <w:rsid w:val="00390E32"/>
    <w:rsid w:val="003931D2"/>
    <w:rsid w:val="00394611"/>
    <w:rsid w:val="003979AF"/>
    <w:rsid w:val="003A1E53"/>
    <w:rsid w:val="003A5B98"/>
    <w:rsid w:val="003B018C"/>
    <w:rsid w:val="003B4A99"/>
    <w:rsid w:val="003B7CB6"/>
    <w:rsid w:val="003C5E90"/>
    <w:rsid w:val="003C787B"/>
    <w:rsid w:val="003D0B14"/>
    <w:rsid w:val="003D258B"/>
    <w:rsid w:val="003D4522"/>
    <w:rsid w:val="003D5E07"/>
    <w:rsid w:val="003D6ECB"/>
    <w:rsid w:val="003E25D7"/>
    <w:rsid w:val="003E4827"/>
    <w:rsid w:val="003E7F5A"/>
    <w:rsid w:val="003F0F9A"/>
    <w:rsid w:val="003F576B"/>
    <w:rsid w:val="00400DA4"/>
    <w:rsid w:val="00403498"/>
    <w:rsid w:val="00403796"/>
    <w:rsid w:val="00404DD3"/>
    <w:rsid w:val="00410F8A"/>
    <w:rsid w:val="0041309C"/>
    <w:rsid w:val="004133BB"/>
    <w:rsid w:val="00416293"/>
    <w:rsid w:val="00423048"/>
    <w:rsid w:val="00423F8E"/>
    <w:rsid w:val="00424093"/>
    <w:rsid w:val="004274CD"/>
    <w:rsid w:val="00436D0B"/>
    <w:rsid w:val="0043779E"/>
    <w:rsid w:val="00440BD4"/>
    <w:rsid w:val="004440DF"/>
    <w:rsid w:val="0044459D"/>
    <w:rsid w:val="00444C8F"/>
    <w:rsid w:val="00445012"/>
    <w:rsid w:val="00452498"/>
    <w:rsid w:val="00455CC7"/>
    <w:rsid w:val="00457284"/>
    <w:rsid w:val="00464214"/>
    <w:rsid w:val="00466146"/>
    <w:rsid w:val="004715B0"/>
    <w:rsid w:val="0047477F"/>
    <w:rsid w:val="00475830"/>
    <w:rsid w:val="00481D36"/>
    <w:rsid w:val="004820DD"/>
    <w:rsid w:val="00483B87"/>
    <w:rsid w:val="00484FF7"/>
    <w:rsid w:val="00487AA9"/>
    <w:rsid w:val="004907B4"/>
    <w:rsid w:val="0049560C"/>
    <w:rsid w:val="004A5B1C"/>
    <w:rsid w:val="004B2CC4"/>
    <w:rsid w:val="004B5073"/>
    <w:rsid w:val="004B52E9"/>
    <w:rsid w:val="004B5BE4"/>
    <w:rsid w:val="004B6533"/>
    <w:rsid w:val="004B78F8"/>
    <w:rsid w:val="004B7DC9"/>
    <w:rsid w:val="004C2AB0"/>
    <w:rsid w:val="004C7A7B"/>
    <w:rsid w:val="004D2B1E"/>
    <w:rsid w:val="004D2C5F"/>
    <w:rsid w:val="004D5C5E"/>
    <w:rsid w:val="004D65F1"/>
    <w:rsid w:val="004E06A4"/>
    <w:rsid w:val="004E1E6F"/>
    <w:rsid w:val="004E49D8"/>
    <w:rsid w:val="004E5F8C"/>
    <w:rsid w:val="004E6DBA"/>
    <w:rsid w:val="004E6E8D"/>
    <w:rsid w:val="004E765F"/>
    <w:rsid w:val="004F0D49"/>
    <w:rsid w:val="004F1703"/>
    <w:rsid w:val="004F4092"/>
    <w:rsid w:val="0050083C"/>
    <w:rsid w:val="0050207D"/>
    <w:rsid w:val="00513D98"/>
    <w:rsid w:val="0051445D"/>
    <w:rsid w:val="00515696"/>
    <w:rsid w:val="00521FEF"/>
    <w:rsid w:val="00523EB9"/>
    <w:rsid w:val="0052574A"/>
    <w:rsid w:val="005315CD"/>
    <w:rsid w:val="005318F9"/>
    <w:rsid w:val="00531E59"/>
    <w:rsid w:val="005369BF"/>
    <w:rsid w:val="00540B4F"/>
    <w:rsid w:val="00541FD0"/>
    <w:rsid w:val="00545420"/>
    <w:rsid w:val="00546843"/>
    <w:rsid w:val="00550B83"/>
    <w:rsid w:val="0055147A"/>
    <w:rsid w:val="005545F2"/>
    <w:rsid w:val="005561AD"/>
    <w:rsid w:val="00565036"/>
    <w:rsid w:val="0056708E"/>
    <w:rsid w:val="00567CAB"/>
    <w:rsid w:val="00570973"/>
    <w:rsid w:val="005730D5"/>
    <w:rsid w:val="00576087"/>
    <w:rsid w:val="00576945"/>
    <w:rsid w:val="00596A20"/>
    <w:rsid w:val="00597D3B"/>
    <w:rsid w:val="005A421A"/>
    <w:rsid w:val="005A4647"/>
    <w:rsid w:val="005A6FEF"/>
    <w:rsid w:val="005A7560"/>
    <w:rsid w:val="005A786C"/>
    <w:rsid w:val="005B0DBE"/>
    <w:rsid w:val="005B1670"/>
    <w:rsid w:val="005B70D8"/>
    <w:rsid w:val="005B7BF7"/>
    <w:rsid w:val="005C21CF"/>
    <w:rsid w:val="005C55E0"/>
    <w:rsid w:val="005C685A"/>
    <w:rsid w:val="005D2AD5"/>
    <w:rsid w:val="005D4F81"/>
    <w:rsid w:val="005D58A5"/>
    <w:rsid w:val="005E08D3"/>
    <w:rsid w:val="005E102F"/>
    <w:rsid w:val="005E2413"/>
    <w:rsid w:val="005E3ED3"/>
    <w:rsid w:val="005E52BF"/>
    <w:rsid w:val="005E6D29"/>
    <w:rsid w:val="005E7275"/>
    <w:rsid w:val="005F041D"/>
    <w:rsid w:val="005F10B7"/>
    <w:rsid w:val="005F4383"/>
    <w:rsid w:val="005F5385"/>
    <w:rsid w:val="005F7AC7"/>
    <w:rsid w:val="00600473"/>
    <w:rsid w:val="00600B20"/>
    <w:rsid w:val="006032FA"/>
    <w:rsid w:val="0060492F"/>
    <w:rsid w:val="006055B0"/>
    <w:rsid w:val="00606FD8"/>
    <w:rsid w:val="00607AC6"/>
    <w:rsid w:val="00617579"/>
    <w:rsid w:val="00621B45"/>
    <w:rsid w:val="006232D0"/>
    <w:rsid w:val="006233E7"/>
    <w:rsid w:val="006254BB"/>
    <w:rsid w:val="006257FF"/>
    <w:rsid w:val="00627748"/>
    <w:rsid w:val="0063373A"/>
    <w:rsid w:val="006348A4"/>
    <w:rsid w:val="0063763C"/>
    <w:rsid w:val="006403AC"/>
    <w:rsid w:val="006412AA"/>
    <w:rsid w:val="00642491"/>
    <w:rsid w:val="00644924"/>
    <w:rsid w:val="00646880"/>
    <w:rsid w:val="00650D43"/>
    <w:rsid w:val="006533A6"/>
    <w:rsid w:val="00653646"/>
    <w:rsid w:val="00657960"/>
    <w:rsid w:val="00660F82"/>
    <w:rsid w:val="0066429A"/>
    <w:rsid w:val="00665D65"/>
    <w:rsid w:val="00665EA5"/>
    <w:rsid w:val="00681CC9"/>
    <w:rsid w:val="006832FB"/>
    <w:rsid w:val="00690B50"/>
    <w:rsid w:val="006924E8"/>
    <w:rsid w:val="00692A1A"/>
    <w:rsid w:val="00692CC7"/>
    <w:rsid w:val="006970B0"/>
    <w:rsid w:val="0069776D"/>
    <w:rsid w:val="006978C0"/>
    <w:rsid w:val="006A0E6A"/>
    <w:rsid w:val="006A1EBF"/>
    <w:rsid w:val="006A312E"/>
    <w:rsid w:val="006A7D08"/>
    <w:rsid w:val="006B0809"/>
    <w:rsid w:val="006B55CB"/>
    <w:rsid w:val="006C0524"/>
    <w:rsid w:val="006C35D9"/>
    <w:rsid w:val="006C4EA7"/>
    <w:rsid w:val="006C5625"/>
    <w:rsid w:val="006C5E7A"/>
    <w:rsid w:val="006D431D"/>
    <w:rsid w:val="006D54BC"/>
    <w:rsid w:val="006D719B"/>
    <w:rsid w:val="006E0FA3"/>
    <w:rsid w:val="006E27D9"/>
    <w:rsid w:val="006F1149"/>
    <w:rsid w:val="006F65F6"/>
    <w:rsid w:val="006F7D99"/>
    <w:rsid w:val="0071142F"/>
    <w:rsid w:val="0071266E"/>
    <w:rsid w:val="00714E46"/>
    <w:rsid w:val="007159E4"/>
    <w:rsid w:val="00716A18"/>
    <w:rsid w:val="007212F6"/>
    <w:rsid w:val="007226DE"/>
    <w:rsid w:val="00726B7E"/>
    <w:rsid w:val="00731D99"/>
    <w:rsid w:val="0073253A"/>
    <w:rsid w:val="007349E4"/>
    <w:rsid w:val="00735245"/>
    <w:rsid w:val="00741835"/>
    <w:rsid w:val="00741907"/>
    <w:rsid w:val="00745E0E"/>
    <w:rsid w:val="007515D9"/>
    <w:rsid w:val="00755363"/>
    <w:rsid w:val="0075601D"/>
    <w:rsid w:val="00761289"/>
    <w:rsid w:val="00761646"/>
    <w:rsid w:val="00762BF0"/>
    <w:rsid w:val="00767ACF"/>
    <w:rsid w:val="0077110E"/>
    <w:rsid w:val="007723E4"/>
    <w:rsid w:val="00772AE9"/>
    <w:rsid w:val="0077474F"/>
    <w:rsid w:val="00780579"/>
    <w:rsid w:val="00780F82"/>
    <w:rsid w:val="007816CE"/>
    <w:rsid w:val="00781CAA"/>
    <w:rsid w:val="00782061"/>
    <w:rsid w:val="00783F18"/>
    <w:rsid w:val="00785845"/>
    <w:rsid w:val="00786025"/>
    <w:rsid w:val="00795024"/>
    <w:rsid w:val="00796245"/>
    <w:rsid w:val="007A0E65"/>
    <w:rsid w:val="007A1DFF"/>
    <w:rsid w:val="007A7F1C"/>
    <w:rsid w:val="007A7F27"/>
    <w:rsid w:val="007B478F"/>
    <w:rsid w:val="007B53B4"/>
    <w:rsid w:val="007C0382"/>
    <w:rsid w:val="007C22D8"/>
    <w:rsid w:val="007C3880"/>
    <w:rsid w:val="007D00E8"/>
    <w:rsid w:val="007D68AC"/>
    <w:rsid w:val="007D6BC4"/>
    <w:rsid w:val="007E0EB0"/>
    <w:rsid w:val="007E133B"/>
    <w:rsid w:val="007E1579"/>
    <w:rsid w:val="007E3B36"/>
    <w:rsid w:val="007E3F9E"/>
    <w:rsid w:val="007E478F"/>
    <w:rsid w:val="007F1F17"/>
    <w:rsid w:val="007F4D0D"/>
    <w:rsid w:val="007F53D4"/>
    <w:rsid w:val="007F669B"/>
    <w:rsid w:val="00803DD9"/>
    <w:rsid w:val="00803F91"/>
    <w:rsid w:val="008050A2"/>
    <w:rsid w:val="008054E9"/>
    <w:rsid w:val="0080731F"/>
    <w:rsid w:val="0081057B"/>
    <w:rsid w:val="00812884"/>
    <w:rsid w:val="008137EA"/>
    <w:rsid w:val="00813A0E"/>
    <w:rsid w:val="008143E5"/>
    <w:rsid w:val="0081548E"/>
    <w:rsid w:val="00817799"/>
    <w:rsid w:val="00817D63"/>
    <w:rsid w:val="00820555"/>
    <w:rsid w:val="008213B2"/>
    <w:rsid w:val="00824113"/>
    <w:rsid w:val="0082453E"/>
    <w:rsid w:val="00824F72"/>
    <w:rsid w:val="0082602D"/>
    <w:rsid w:val="00826718"/>
    <w:rsid w:val="00827116"/>
    <w:rsid w:val="0082735B"/>
    <w:rsid w:val="008405D2"/>
    <w:rsid w:val="00843E97"/>
    <w:rsid w:val="00845CAC"/>
    <w:rsid w:val="00850643"/>
    <w:rsid w:val="008513B0"/>
    <w:rsid w:val="00854D03"/>
    <w:rsid w:val="00856686"/>
    <w:rsid w:val="00863146"/>
    <w:rsid w:val="00864E67"/>
    <w:rsid w:val="00866E3F"/>
    <w:rsid w:val="00873350"/>
    <w:rsid w:val="008734E3"/>
    <w:rsid w:val="008778D3"/>
    <w:rsid w:val="00877B01"/>
    <w:rsid w:val="0088357D"/>
    <w:rsid w:val="00886117"/>
    <w:rsid w:val="00887B3F"/>
    <w:rsid w:val="0089004D"/>
    <w:rsid w:val="0089320A"/>
    <w:rsid w:val="008935CF"/>
    <w:rsid w:val="00893D6E"/>
    <w:rsid w:val="00897C0A"/>
    <w:rsid w:val="008A1787"/>
    <w:rsid w:val="008A3CC2"/>
    <w:rsid w:val="008A54C3"/>
    <w:rsid w:val="008A59D9"/>
    <w:rsid w:val="008A66F3"/>
    <w:rsid w:val="008A7D8F"/>
    <w:rsid w:val="008B11EB"/>
    <w:rsid w:val="008B6818"/>
    <w:rsid w:val="008C1C9D"/>
    <w:rsid w:val="008C2AD0"/>
    <w:rsid w:val="008C2CA1"/>
    <w:rsid w:val="008C464E"/>
    <w:rsid w:val="008C5F96"/>
    <w:rsid w:val="008D05BC"/>
    <w:rsid w:val="008D0FFF"/>
    <w:rsid w:val="008D490E"/>
    <w:rsid w:val="008D6092"/>
    <w:rsid w:val="008D6310"/>
    <w:rsid w:val="008D6E16"/>
    <w:rsid w:val="008E0021"/>
    <w:rsid w:val="008E0C84"/>
    <w:rsid w:val="00903928"/>
    <w:rsid w:val="009041A4"/>
    <w:rsid w:val="0090548A"/>
    <w:rsid w:val="009065E6"/>
    <w:rsid w:val="009078AB"/>
    <w:rsid w:val="00910399"/>
    <w:rsid w:val="00910E82"/>
    <w:rsid w:val="00910E9A"/>
    <w:rsid w:val="00912B11"/>
    <w:rsid w:val="00914CE5"/>
    <w:rsid w:val="00915432"/>
    <w:rsid w:val="009163F2"/>
    <w:rsid w:val="00916C61"/>
    <w:rsid w:val="0091724D"/>
    <w:rsid w:val="00924D76"/>
    <w:rsid w:val="0092509E"/>
    <w:rsid w:val="0092587F"/>
    <w:rsid w:val="009273AB"/>
    <w:rsid w:val="00934688"/>
    <w:rsid w:val="00935755"/>
    <w:rsid w:val="00937B7F"/>
    <w:rsid w:val="00944FE8"/>
    <w:rsid w:val="00945D23"/>
    <w:rsid w:val="00945EAA"/>
    <w:rsid w:val="00950F46"/>
    <w:rsid w:val="00953A32"/>
    <w:rsid w:val="00954F07"/>
    <w:rsid w:val="0096169F"/>
    <w:rsid w:val="009619AD"/>
    <w:rsid w:val="00961B79"/>
    <w:rsid w:val="00962BA0"/>
    <w:rsid w:val="009651B5"/>
    <w:rsid w:val="0097428E"/>
    <w:rsid w:val="009752EC"/>
    <w:rsid w:val="009764C7"/>
    <w:rsid w:val="009818F5"/>
    <w:rsid w:val="00982AD0"/>
    <w:rsid w:val="00991C11"/>
    <w:rsid w:val="009969DB"/>
    <w:rsid w:val="00997306"/>
    <w:rsid w:val="009A66CA"/>
    <w:rsid w:val="009A6990"/>
    <w:rsid w:val="009B1019"/>
    <w:rsid w:val="009B3016"/>
    <w:rsid w:val="009B4B20"/>
    <w:rsid w:val="009C0BF1"/>
    <w:rsid w:val="009C0D6D"/>
    <w:rsid w:val="009C4234"/>
    <w:rsid w:val="009C43CD"/>
    <w:rsid w:val="009C4898"/>
    <w:rsid w:val="009D0E54"/>
    <w:rsid w:val="009D3497"/>
    <w:rsid w:val="009D363F"/>
    <w:rsid w:val="009E0502"/>
    <w:rsid w:val="009E13F7"/>
    <w:rsid w:val="009E1EB7"/>
    <w:rsid w:val="009E3FD5"/>
    <w:rsid w:val="009E5308"/>
    <w:rsid w:val="009E5DF0"/>
    <w:rsid w:val="009E74AB"/>
    <w:rsid w:val="009F1265"/>
    <w:rsid w:val="009F2F71"/>
    <w:rsid w:val="009F6D7F"/>
    <w:rsid w:val="009F7447"/>
    <w:rsid w:val="00A0425B"/>
    <w:rsid w:val="00A0505A"/>
    <w:rsid w:val="00A059BA"/>
    <w:rsid w:val="00A06747"/>
    <w:rsid w:val="00A129A2"/>
    <w:rsid w:val="00A158AF"/>
    <w:rsid w:val="00A20C67"/>
    <w:rsid w:val="00A233F3"/>
    <w:rsid w:val="00A2409D"/>
    <w:rsid w:val="00A32D86"/>
    <w:rsid w:val="00A3359A"/>
    <w:rsid w:val="00A36675"/>
    <w:rsid w:val="00A37C8A"/>
    <w:rsid w:val="00A40F4F"/>
    <w:rsid w:val="00A436C7"/>
    <w:rsid w:val="00A639AA"/>
    <w:rsid w:val="00A64FE1"/>
    <w:rsid w:val="00A66983"/>
    <w:rsid w:val="00A75179"/>
    <w:rsid w:val="00A8325D"/>
    <w:rsid w:val="00A84C30"/>
    <w:rsid w:val="00A84EE8"/>
    <w:rsid w:val="00A86475"/>
    <w:rsid w:val="00A92E1A"/>
    <w:rsid w:val="00A9357D"/>
    <w:rsid w:val="00AA0BE2"/>
    <w:rsid w:val="00AA17BF"/>
    <w:rsid w:val="00AA198C"/>
    <w:rsid w:val="00AA2405"/>
    <w:rsid w:val="00AA2BD3"/>
    <w:rsid w:val="00AA5184"/>
    <w:rsid w:val="00AB1C95"/>
    <w:rsid w:val="00AB2330"/>
    <w:rsid w:val="00AB63CB"/>
    <w:rsid w:val="00AB71D4"/>
    <w:rsid w:val="00AB78C0"/>
    <w:rsid w:val="00AC5C03"/>
    <w:rsid w:val="00AC6521"/>
    <w:rsid w:val="00AD0A22"/>
    <w:rsid w:val="00AD1141"/>
    <w:rsid w:val="00AD53A4"/>
    <w:rsid w:val="00AD5AB9"/>
    <w:rsid w:val="00AD7D87"/>
    <w:rsid w:val="00AE01BA"/>
    <w:rsid w:val="00AE20AC"/>
    <w:rsid w:val="00AE5D80"/>
    <w:rsid w:val="00AE6FD6"/>
    <w:rsid w:val="00AF0EA0"/>
    <w:rsid w:val="00AF37C2"/>
    <w:rsid w:val="00AF3DAA"/>
    <w:rsid w:val="00B00EC2"/>
    <w:rsid w:val="00B01351"/>
    <w:rsid w:val="00B06B1E"/>
    <w:rsid w:val="00B079EC"/>
    <w:rsid w:val="00B12B14"/>
    <w:rsid w:val="00B17153"/>
    <w:rsid w:val="00B17A3F"/>
    <w:rsid w:val="00B17BCC"/>
    <w:rsid w:val="00B25E59"/>
    <w:rsid w:val="00B27F99"/>
    <w:rsid w:val="00B33888"/>
    <w:rsid w:val="00B3418F"/>
    <w:rsid w:val="00B346F6"/>
    <w:rsid w:val="00B34912"/>
    <w:rsid w:val="00B40868"/>
    <w:rsid w:val="00B40E33"/>
    <w:rsid w:val="00B42040"/>
    <w:rsid w:val="00B457C2"/>
    <w:rsid w:val="00B516AB"/>
    <w:rsid w:val="00B55C98"/>
    <w:rsid w:val="00B57938"/>
    <w:rsid w:val="00B57CC5"/>
    <w:rsid w:val="00B604D5"/>
    <w:rsid w:val="00B61D01"/>
    <w:rsid w:val="00B63C13"/>
    <w:rsid w:val="00B74221"/>
    <w:rsid w:val="00B77167"/>
    <w:rsid w:val="00B77296"/>
    <w:rsid w:val="00B80F0D"/>
    <w:rsid w:val="00B815C8"/>
    <w:rsid w:val="00B816BA"/>
    <w:rsid w:val="00B83E78"/>
    <w:rsid w:val="00B915C6"/>
    <w:rsid w:val="00B937B9"/>
    <w:rsid w:val="00BA2C7F"/>
    <w:rsid w:val="00BA324C"/>
    <w:rsid w:val="00BA4249"/>
    <w:rsid w:val="00BA617F"/>
    <w:rsid w:val="00BA710F"/>
    <w:rsid w:val="00BB0222"/>
    <w:rsid w:val="00BB172A"/>
    <w:rsid w:val="00BB5DEB"/>
    <w:rsid w:val="00BB5EFA"/>
    <w:rsid w:val="00BC284D"/>
    <w:rsid w:val="00BC4F7D"/>
    <w:rsid w:val="00BD1375"/>
    <w:rsid w:val="00BD25FD"/>
    <w:rsid w:val="00BD39AE"/>
    <w:rsid w:val="00BD3B4E"/>
    <w:rsid w:val="00BD5727"/>
    <w:rsid w:val="00BD611C"/>
    <w:rsid w:val="00BD69D8"/>
    <w:rsid w:val="00BE16F0"/>
    <w:rsid w:val="00BE304D"/>
    <w:rsid w:val="00BE3B8D"/>
    <w:rsid w:val="00BE50BC"/>
    <w:rsid w:val="00BE57D8"/>
    <w:rsid w:val="00BE5BA6"/>
    <w:rsid w:val="00BF0915"/>
    <w:rsid w:val="00BF24DF"/>
    <w:rsid w:val="00BF2D86"/>
    <w:rsid w:val="00BF6EC7"/>
    <w:rsid w:val="00C03D27"/>
    <w:rsid w:val="00C04A2A"/>
    <w:rsid w:val="00C04C0F"/>
    <w:rsid w:val="00C064F2"/>
    <w:rsid w:val="00C06CC8"/>
    <w:rsid w:val="00C12338"/>
    <w:rsid w:val="00C22114"/>
    <w:rsid w:val="00C2295A"/>
    <w:rsid w:val="00C26D91"/>
    <w:rsid w:val="00C33A72"/>
    <w:rsid w:val="00C346AB"/>
    <w:rsid w:val="00C34B62"/>
    <w:rsid w:val="00C42B0A"/>
    <w:rsid w:val="00C43A55"/>
    <w:rsid w:val="00C45130"/>
    <w:rsid w:val="00C45553"/>
    <w:rsid w:val="00C46FD7"/>
    <w:rsid w:val="00C5250B"/>
    <w:rsid w:val="00C53010"/>
    <w:rsid w:val="00C54510"/>
    <w:rsid w:val="00C55B9D"/>
    <w:rsid w:val="00C55BBB"/>
    <w:rsid w:val="00C57696"/>
    <w:rsid w:val="00C60543"/>
    <w:rsid w:val="00C611B9"/>
    <w:rsid w:val="00C65175"/>
    <w:rsid w:val="00C674E1"/>
    <w:rsid w:val="00C7545E"/>
    <w:rsid w:val="00C81AF9"/>
    <w:rsid w:val="00C83DA4"/>
    <w:rsid w:val="00C853EA"/>
    <w:rsid w:val="00C877FB"/>
    <w:rsid w:val="00C92A05"/>
    <w:rsid w:val="00CA26F0"/>
    <w:rsid w:val="00CA5838"/>
    <w:rsid w:val="00CB1783"/>
    <w:rsid w:val="00CB192F"/>
    <w:rsid w:val="00CB42BC"/>
    <w:rsid w:val="00CB442F"/>
    <w:rsid w:val="00CB5434"/>
    <w:rsid w:val="00CB5FE9"/>
    <w:rsid w:val="00CC038A"/>
    <w:rsid w:val="00CC0AD8"/>
    <w:rsid w:val="00CC0AF2"/>
    <w:rsid w:val="00CC0C58"/>
    <w:rsid w:val="00CC2C5A"/>
    <w:rsid w:val="00CC7849"/>
    <w:rsid w:val="00CC7AEE"/>
    <w:rsid w:val="00CD14FA"/>
    <w:rsid w:val="00CD1502"/>
    <w:rsid w:val="00CD41C8"/>
    <w:rsid w:val="00CD5BB4"/>
    <w:rsid w:val="00CD7A7D"/>
    <w:rsid w:val="00CE31E4"/>
    <w:rsid w:val="00CE3422"/>
    <w:rsid w:val="00CE61B3"/>
    <w:rsid w:val="00CF4768"/>
    <w:rsid w:val="00CF5DA2"/>
    <w:rsid w:val="00D0111B"/>
    <w:rsid w:val="00D01626"/>
    <w:rsid w:val="00D02192"/>
    <w:rsid w:val="00D052FD"/>
    <w:rsid w:val="00D0550A"/>
    <w:rsid w:val="00D06D96"/>
    <w:rsid w:val="00D07984"/>
    <w:rsid w:val="00D115F6"/>
    <w:rsid w:val="00D11D78"/>
    <w:rsid w:val="00D15978"/>
    <w:rsid w:val="00D217BA"/>
    <w:rsid w:val="00D23CAF"/>
    <w:rsid w:val="00D243DF"/>
    <w:rsid w:val="00D25FE8"/>
    <w:rsid w:val="00D31F40"/>
    <w:rsid w:val="00D3220A"/>
    <w:rsid w:val="00D33A5D"/>
    <w:rsid w:val="00D36FFC"/>
    <w:rsid w:val="00D443CB"/>
    <w:rsid w:val="00D450FA"/>
    <w:rsid w:val="00D573BF"/>
    <w:rsid w:val="00D629F5"/>
    <w:rsid w:val="00D65106"/>
    <w:rsid w:val="00D655BE"/>
    <w:rsid w:val="00D708D4"/>
    <w:rsid w:val="00D71BCE"/>
    <w:rsid w:val="00D73059"/>
    <w:rsid w:val="00D73450"/>
    <w:rsid w:val="00D80C0A"/>
    <w:rsid w:val="00D90F27"/>
    <w:rsid w:val="00D916D3"/>
    <w:rsid w:val="00D93710"/>
    <w:rsid w:val="00D93990"/>
    <w:rsid w:val="00D95BAF"/>
    <w:rsid w:val="00DA0E89"/>
    <w:rsid w:val="00DA77D8"/>
    <w:rsid w:val="00DB01A0"/>
    <w:rsid w:val="00DB6854"/>
    <w:rsid w:val="00DC2A79"/>
    <w:rsid w:val="00DC6959"/>
    <w:rsid w:val="00DC7BA5"/>
    <w:rsid w:val="00DC7E22"/>
    <w:rsid w:val="00DD029F"/>
    <w:rsid w:val="00DD27E5"/>
    <w:rsid w:val="00DD35B4"/>
    <w:rsid w:val="00DD58A8"/>
    <w:rsid w:val="00DD6F1F"/>
    <w:rsid w:val="00DD77B6"/>
    <w:rsid w:val="00DE1E9F"/>
    <w:rsid w:val="00DF03D4"/>
    <w:rsid w:val="00DF50D7"/>
    <w:rsid w:val="00DF564D"/>
    <w:rsid w:val="00DF69B1"/>
    <w:rsid w:val="00DF6DA2"/>
    <w:rsid w:val="00E067ED"/>
    <w:rsid w:val="00E06EFA"/>
    <w:rsid w:val="00E11A47"/>
    <w:rsid w:val="00E1592F"/>
    <w:rsid w:val="00E2324B"/>
    <w:rsid w:val="00E26C0B"/>
    <w:rsid w:val="00E3355F"/>
    <w:rsid w:val="00E33756"/>
    <w:rsid w:val="00E33CD2"/>
    <w:rsid w:val="00E3428A"/>
    <w:rsid w:val="00E3677E"/>
    <w:rsid w:val="00E37E94"/>
    <w:rsid w:val="00E41618"/>
    <w:rsid w:val="00E42665"/>
    <w:rsid w:val="00E44229"/>
    <w:rsid w:val="00E477FE"/>
    <w:rsid w:val="00E5635D"/>
    <w:rsid w:val="00E57E15"/>
    <w:rsid w:val="00E631AA"/>
    <w:rsid w:val="00E65C4F"/>
    <w:rsid w:val="00E661F6"/>
    <w:rsid w:val="00E6763D"/>
    <w:rsid w:val="00E71900"/>
    <w:rsid w:val="00E74123"/>
    <w:rsid w:val="00E77A26"/>
    <w:rsid w:val="00E77EEE"/>
    <w:rsid w:val="00E84613"/>
    <w:rsid w:val="00E84B03"/>
    <w:rsid w:val="00E8657D"/>
    <w:rsid w:val="00E90F01"/>
    <w:rsid w:val="00E92026"/>
    <w:rsid w:val="00E960E9"/>
    <w:rsid w:val="00EA3624"/>
    <w:rsid w:val="00EA58CB"/>
    <w:rsid w:val="00EB024F"/>
    <w:rsid w:val="00EB0AEE"/>
    <w:rsid w:val="00EB29AD"/>
    <w:rsid w:val="00EB3F9D"/>
    <w:rsid w:val="00EB55B1"/>
    <w:rsid w:val="00EB6391"/>
    <w:rsid w:val="00EB7D68"/>
    <w:rsid w:val="00EC5840"/>
    <w:rsid w:val="00EC6145"/>
    <w:rsid w:val="00ED1502"/>
    <w:rsid w:val="00ED78F5"/>
    <w:rsid w:val="00EE1165"/>
    <w:rsid w:val="00EE5904"/>
    <w:rsid w:val="00EE5B64"/>
    <w:rsid w:val="00EE6B71"/>
    <w:rsid w:val="00EE6BC1"/>
    <w:rsid w:val="00EF0D57"/>
    <w:rsid w:val="00EF57B5"/>
    <w:rsid w:val="00F02F2E"/>
    <w:rsid w:val="00F05401"/>
    <w:rsid w:val="00F05499"/>
    <w:rsid w:val="00F10877"/>
    <w:rsid w:val="00F1608A"/>
    <w:rsid w:val="00F22FDD"/>
    <w:rsid w:val="00F232C4"/>
    <w:rsid w:val="00F2411E"/>
    <w:rsid w:val="00F25363"/>
    <w:rsid w:val="00F26FD8"/>
    <w:rsid w:val="00F31C3D"/>
    <w:rsid w:val="00F350A1"/>
    <w:rsid w:val="00F370D6"/>
    <w:rsid w:val="00F37DFA"/>
    <w:rsid w:val="00F37EFF"/>
    <w:rsid w:val="00F40215"/>
    <w:rsid w:val="00F41255"/>
    <w:rsid w:val="00F42E98"/>
    <w:rsid w:val="00F521EC"/>
    <w:rsid w:val="00F54F0E"/>
    <w:rsid w:val="00F57691"/>
    <w:rsid w:val="00F62EE8"/>
    <w:rsid w:val="00F63285"/>
    <w:rsid w:val="00F640FA"/>
    <w:rsid w:val="00F65A26"/>
    <w:rsid w:val="00F71377"/>
    <w:rsid w:val="00F7198E"/>
    <w:rsid w:val="00F80A17"/>
    <w:rsid w:val="00F82870"/>
    <w:rsid w:val="00F83591"/>
    <w:rsid w:val="00F94756"/>
    <w:rsid w:val="00FA05DE"/>
    <w:rsid w:val="00FA1D83"/>
    <w:rsid w:val="00FA5E8A"/>
    <w:rsid w:val="00FA6CAF"/>
    <w:rsid w:val="00FB091F"/>
    <w:rsid w:val="00FB1E4B"/>
    <w:rsid w:val="00FB22F6"/>
    <w:rsid w:val="00FB3C39"/>
    <w:rsid w:val="00FB4343"/>
    <w:rsid w:val="00FB7033"/>
    <w:rsid w:val="00FC23CF"/>
    <w:rsid w:val="00FC602B"/>
    <w:rsid w:val="00FC6637"/>
    <w:rsid w:val="00FC721F"/>
    <w:rsid w:val="00FC73B5"/>
    <w:rsid w:val="00FC7D50"/>
    <w:rsid w:val="00FD1BD7"/>
    <w:rsid w:val="00FD48B9"/>
    <w:rsid w:val="00FD4FC8"/>
    <w:rsid w:val="00FD573B"/>
    <w:rsid w:val="00FE1EFB"/>
    <w:rsid w:val="00FE7483"/>
    <w:rsid w:val="00FF2D56"/>
    <w:rsid w:val="00FF75AF"/>
    <w:rsid w:val="01010DC0"/>
    <w:rsid w:val="01367ADD"/>
    <w:rsid w:val="01745FF5"/>
    <w:rsid w:val="01957316"/>
    <w:rsid w:val="019D75F7"/>
    <w:rsid w:val="01AB2E6B"/>
    <w:rsid w:val="02151521"/>
    <w:rsid w:val="02313956"/>
    <w:rsid w:val="028905F9"/>
    <w:rsid w:val="02B151EA"/>
    <w:rsid w:val="03632739"/>
    <w:rsid w:val="04296885"/>
    <w:rsid w:val="043427A3"/>
    <w:rsid w:val="04415E6D"/>
    <w:rsid w:val="044F1117"/>
    <w:rsid w:val="0453522B"/>
    <w:rsid w:val="04C51C83"/>
    <w:rsid w:val="052829F6"/>
    <w:rsid w:val="0643730D"/>
    <w:rsid w:val="074E1BEF"/>
    <w:rsid w:val="07782E40"/>
    <w:rsid w:val="07BD4F13"/>
    <w:rsid w:val="088253FE"/>
    <w:rsid w:val="08E6791B"/>
    <w:rsid w:val="09724122"/>
    <w:rsid w:val="0983157E"/>
    <w:rsid w:val="09BE654F"/>
    <w:rsid w:val="09FE1B14"/>
    <w:rsid w:val="0A4B6E35"/>
    <w:rsid w:val="0A8637B4"/>
    <w:rsid w:val="0AB1153C"/>
    <w:rsid w:val="0AB57847"/>
    <w:rsid w:val="0B4337E5"/>
    <w:rsid w:val="0D6059DD"/>
    <w:rsid w:val="0D89438B"/>
    <w:rsid w:val="0D995A70"/>
    <w:rsid w:val="0DBC33FF"/>
    <w:rsid w:val="0F50730F"/>
    <w:rsid w:val="0FD02638"/>
    <w:rsid w:val="11643A43"/>
    <w:rsid w:val="11DF51CC"/>
    <w:rsid w:val="12061235"/>
    <w:rsid w:val="12830B81"/>
    <w:rsid w:val="133643B2"/>
    <w:rsid w:val="135E3CA5"/>
    <w:rsid w:val="138C7A0C"/>
    <w:rsid w:val="139A1AD8"/>
    <w:rsid w:val="13B80919"/>
    <w:rsid w:val="14296AE8"/>
    <w:rsid w:val="1522725F"/>
    <w:rsid w:val="153D2001"/>
    <w:rsid w:val="15685645"/>
    <w:rsid w:val="159F41A4"/>
    <w:rsid w:val="15A55C5A"/>
    <w:rsid w:val="15C161A5"/>
    <w:rsid w:val="15D942D4"/>
    <w:rsid w:val="15ED48AE"/>
    <w:rsid w:val="16636CF5"/>
    <w:rsid w:val="16AB5A4C"/>
    <w:rsid w:val="16D714AF"/>
    <w:rsid w:val="17126502"/>
    <w:rsid w:val="18F135D3"/>
    <w:rsid w:val="1BC17CE4"/>
    <w:rsid w:val="1BDE649D"/>
    <w:rsid w:val="1C4C74A6"/>
    <w:rsid w:val="1CB4332A"/>
    <w:rsid w:val="1CDC2A2A"/>
    <w:rsid w:val="1D4C5C70"/>
    <w:rsid w:val="1DD3408B"/>
    <w:rsid w:val="1DF66BF8"/>
    <w:rsid w:val="1E8A2924"/>
    <w:rsid w:val="1F1F544D"/>
    <w:rsid w:val="1FA53874"/>
    <w:rsid w:val="1FAA328C"/>
    <w:rsid w:val="1FB406F1"/>
    <w:rsid w:val="1FB5160F"/>
    <w:rsid w:val="200B6E17"/>
    <w:rsid w:val="204F7882"/>
    <w:rsid w:val="20921E64"/>
    <w:rsid w:val="209C4C11"/>
    <w:rsid w:val="20AC74DA"/>
    <w:rsid w:val="20AE01CD"/>
    <w:rsid w:val="20B827A2"/>
    <w:rsid w:val="20D44126"/>
    <w:rsid w:val="20D57BBC"/>
    <w:rsid w:val="219A375E"/>
    <w:rsid w:val="224D3FBB"/>
    <w:rsid w:val="22596EC8"/>
    <w:rsid w:val="22957529"/>
    <w:rsid w:val="240F669E"/>
    <w:rsid w:val="243E1878"/>
    <w:rsid w:val="245F7EA8"/>
    <w:rsid w:val="249662D1"/>
    <w:rsid w:val="250B253B"/>
    <w:rsid w:val="262C735E"/>
    <w:rsid w:val="263E1E43"/>
    <w:rsid w:val="26644119"/>
    <w:rsid w:val="268771FA"/>
    <w:rsid w:val="26FF47BB"/>
    <w:rsid w:val="274E52FB"/>
    <w:rsid w:val="27620A8F"/>
    <w:rsid w:val="27F14E73"/>
    <w:rsid w:val="2853095F"/>
    <w:rsid w:val="287D47BB"/>
    <w:rsid w:val="289420D5"/>
    <w:rsid w:val="29FE0490"/>
    <w:rsid w:val="2A176942"/>
    <w:rsid w:val="2A2A25FB"/>
    <w:rsid w:val="2AE6496D"/>
    <w:rsid w:val="2BA813D4"/>
    <w:rsid w:val="2CC54818"/>
    <w:rsid w:val="2CCE1B34"/>
    <w:rsid w:val="2CEB4FFF"/>
    <w:rsid w:val="2CF61E37"/>
    <w:rsid w:val="2CFF066C"/>
    <w:rsid w:val="2D306F77"/>
    <w:rsid w:val="2D3A1CC6"/>
    <w:rsid w:val="2E08144F"/>
    <w:rsid w:val="2E0F2B31"/>
    <w:rsid w:val="2F3D4C69"/>
    <w:rsid w:val="30121E3C"/>
    <w:rsid w:val="305F1B4D"/>
    <w:rsid w:val="30B6207A"/>
    <w:rsid w:val="315D1F7D"/>
    <w:rsid w:val="322D548C"/>
    <w:rsid w:val="326049E1"/>
    <w:rsid w:val="3268667D"/>
    <w:rsid w:val="32F522F5"/>
    <w:rsid w:val="3332126F"/>
    <w:rsid w:val="33397294"/>
    <w:rsid w:val="334751EA"/>
    <w:rsid w:val="334A6C01"/>
    <w:rsid w:val="338F7005"/>
    <w:rsid w:val="33900A00"/>
    <w:rsid w:val="339235B1"/>
    <w:rsid w:val="34784FC7"/>
    <w:rsid w:val="347D4B77"/>
    <w:rsid w:val="364C65C2"/>
    <w:rsid w:val="36CC2B25"/>
    <w:rsid w:val="36F23152"/>
    <w:rsid w:val="371F5706"/>
    <w:rsid w:val="37AF3792"/>
    <w:rsid w:val="37C61A7B"/>
    <w:rsid w:val="38322A41"/>
    <w:rsid w:val="39466C47"/>
    <w:rsid w:val="399E3515"/>
    <w:rsid w:val="39A527B5"/>
    <w:rsid w:val="3A2325A9"/>
    <w:rsid w:val="3A361B71"/>
    <w:rsid w:val="3B1A7B41"/>
    <w:rsid w:val="3B3B235D"/>
    <w:rsid w:val="3B902FB6"/>
    <w:rsid w:val="3BA91C9B"/>
    <w:rsid w:val="3C254D17"/>
    <w:rsid w:val="3C594B51"/>
    <w:rsid w:val="3D203667"/>
    <w:rsid w:val="3DA7402E"/>
    <w:rsid w:val="3E35213F"/>
    <w:rsid w:val="3F0E24F4"/>
    <w:rsid w:val="3F305696"/>
    <w:rsid w:val="40B42A9D"/>
    <w:rsid w:val="40D466D5"/>
    <w:rsid w:val="40F17343"/>
    <w:rsid w:val="414324F8"/>
    <w:rsid w:val="414D6B19"/>
    <w:rsid w:val="418519FA"/>
    <w:rsid w:val="41C919E6"/>
    <w:rsid w:val="41EC6AFB"/>
    <w:rsid w:val="42012F0A"/>
    <w:rsid w:val="42092871"/>
    <w:rsid w:val="42811B47"/>
    <w:rsid w:val="42ED62DA"/>
    <w:rsid w:val="4327346E"/>
    <w:rsid w:val="43420FF6"/>
    <w:rsid w:val="43CA332A"/>
    <w:rsid w:val="44A40821"/>
    <w:rsid w:val="452242D2"/>
    <w:rsid w:val="467B3750"/>
    <w:rsid w:val="469D191E"/>
    <w:rsid w:val="46CF3628"/>
    <w:rsid w:val="470F436D"/>
    <w:rsid w:val="47390BDC"/>
    <w:rsid w:val="474A792F"/>
    <w:rsid w:val="474E7D1A"/>
    <w:rsid w:val="48315726"/>
    <w:rsid w:val="488046C6"/>
    <w:rsid w:val="48F44E94"/>
    <w:rsid w:val="492C2636"/>
    <w:rsid w:val="4977185E"/>
    <w:rsid w:val="4A9C24B0"/>
    <w:rsid w:val="4A9D70A2"/>
    <w:rsid w:val="4AF763BD"/>
    <w:rsid w:val="4B6E0F11"/>
    <w:rsid w:val="4C325F10"/>
    <w:rsid w:val="4DBE2242"/>
    <w:rsid w:val="4E3C4BEE"/>
    <w:rsid w:val="4E5C5F56"/>
    <w:rsid w:val="4EC62126"/>
    <w:rsid w:val="4F2A752E"/>
    <w:rsid w:val="4F5610F2"/>
    <w:rsid w:val="4F583E4D"/>
    <w:rsid w:val="4F7640F5"/>
    <w:rsid w:val="50B4155D"/>
    <w:rsid w:val="50CF6CB6"/>
    <w:rsid w:val="52495D62"/>
    <w:rsid w:val="530B2E17"/>
    <w:rsid w:val="534A43E6"/>
    <w:rsid w:val="53A13E55"/>
    <w:rsid w:val="53EC042A"/>
    <w:rsid w:val="54042084"/>
    <w:rsid w:val="547A6AB3"/>
    <w:rsid w:val="55205C56"/>
    <w:rsid w:val="558C4615"/>
    <w:rsid w:val="55D44791"/>
    <w:rsid w:val="58454F67"/>
    <w:rsid w:val="599923BD"/>
    <w:rsid w:val="59AC1F4B"/>
    <w:rsid w:val="5A1E43E7"/>
    <w:rsid w:val="5ABC576C"/>
    <w:rsid w:val="5B2A0381"/>
    <w:rsid w:val="5BE86016"/>
    <w:rsid w:val="5C666B0F"/>
    <w:rsid w:val="5CB70498"/>
    <w:rsid w:val="5CBD3291"/>
    <w:rsid w:val="5CCB3F43"/>
    <w:rsid w:val="5D015E23"/>
    <w:rsid w:val="5D05398F"/>
    <w:rsid w:val="5DCA77DC"/>
    <w:rsid w:val="5E1C359A"/>
    <w:rsid w:val="5E4A02CB"/>
    <w:rsid w:val="5E7B4399"/>
    <w:rsid w:val="5FF64B50"/>
    <w:rsid w:val="60740AF6"/>
    <w:rsid w:val="609B00D0"/>
    <w:rsid w:val="60B71D43"/>
    <w:rsid w:val="61131F9A"/>
    <w:rsid w:val="617233CF"/>
    <w:rsid w:val="61725D9A"/>
    <w:rsid w:val="61954B1F"/>
    <w:rsid w:val="62233B87"/>
    <w:rsid w:val="622A1090"/>
    <w:rsid w:val="622B2271"/>
    <w:rsid w:val="626F420C"/>
    <w:rsid w:val="62740D28"/>
    <w:rsid w:val="62B84990"/>
    <w:rsid w:val="633D46EA"/>
    <w:rsid w:val="640C3779"/>
    <w:rsid w:val="649742DE"/>
    <w:rsid w:val="650F4991"/>
    <w:rsid w:val="65C7764C"/>
    <w:rsid w:val="662059B6"/>
    <w:rsid w:val="67484FCE"/>
    <w:rsid w:val="676A3A2A"/>
    <w:rsid w:val="67BA66EE"/>
    <w:rsid w:val="67CB36F0"/>
    <w:rsid w:val="67FA7A1E"/>
    <w:rsid w:val="68473869"/>
    <w:rsid w:val="688C1CA1"/>
    <w:rsid w:val="69334486"/>
    <w:rsid w:val="695843F6"/>
    <w:rsid w:val="69CD44C1"/>
    <w:rsid w:val="69FE49DF"/>
    <w:rsid w:val="6A0F4BED"/>
    <w:rsid w:val="6A457CBB"/>
    <w:rsid w:val="6AD95A7D"/>
    <w:rsid w:val="6B171C62"/>
    <w:rsid w:val="6BC02799"/>
    <w:rsid w:val="6BE804CC"/>
    <w:rsid w:val="6C8C7FEB"/>
    <w:rsid w:val="6D490C1C"/>
    <w:rsid w:val="6DC57D4F"/>
    <w:rsid w:val="6E5050A7"/>
    <w:rsid w:val="6EC45F46"/>
    <w:rsid w:val="6EEB5BB0"/>
    <w:rsid w:val="70184F76"/>
    <w:rsid w:val="70435AC5"/>
    <w:rsid w:val="70B573FA"/>
    <w:rsid w:val="71235CA4"/>
    <w:rsid w:val="71402523"/>
    <w:rsid w:val="714176D0"/>
    <w:rsid w:val="71723296"/>
    <w:rsid w:val="71EB72EC"/>
    <w:rsid w:val="72600B2A"/>
    <w:rsid w:val="72C02042"/>
    <w:rsid w:val="72D64A93"/>
    <w:rsid w:val="730B4C41"/>
    <w:rsid w:val="731761E0"/>
    <w:rsid w:val="73660A41"/>
    <w:rsid w:val="73D5454B"/>
    <w:rsid w:val="73DC4C50"/>
    <w:rsid w:val="74557335"/>
    <w:rsid w:val="74E163C6"/>
    <w:rsid w:val="75592594"/>
    <w:rsid w:val="7582112E"/>
    <w:rsid w:val="758D0573"/>
    <w:rsid w:val="76135943"/>
    <w:rsid w:val="762C2956"/>
    <w:rsid w:val="76E90F64"/>
    <w:rsid w:val="774E6502"/>
    <w:rsid w:val="788960B1"/>
    <w:rsid w:val="789348AE"/>
    <w:rsid w:val="78AF606F"/>
    <w:rsid w:val="78DE573F"/>
    <w:rsid w:val="796BDB95"/>
    <w:rsid w:val="799C222E"/>
    <w:rsid w:val="7AEB688F"/>
    <w:rsid w:val="7BB51BEE"/>
    <w:rsid w:val="7BD137C8"/>
    <w:rsid w:val="7C483F86"/>
    <w:rsid w:val="7C7C69B3"/>
    <w:rsid w:val="7D3043A8"/>
    <w:rsid w:val="7D796738"/>
    <w:rsid w:val="7D7F7036"/>
    <w:rsid w:val="7E3C03A5"/>
    <w:rsid w:val="7EEC57A3"/>
    <w:rsid w:val="7F8608E0"/>
    <w:rsid w:val="7FE61128"/>
    <w:rsid w:val="BEF940A6"/>
    <w:rsid w:val="E33ECBFD"/>
    <w:rsid w:val="FDDD7915"/>
    <w:rsid w:val="FFFEC4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olor w:val="000000"/>
    </w:rPr>
  </w:style>
  <w:style w:type="paragraph" w:styleId="4">
    <w:name w:val="Balloon Text"/>
    <w:basedOn w:val="1"/>
    <w:qFormat/>
    <w:uiPriority w:val="0"/>
    <w:rPr>
      <w:sz w:val="2"/>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 w:type="character" w:customStyle="1" w:styleId="11">
    <w:name w:val="页脚 字符"/>
    <w:link w:val="5"/>
    <w:qFormat/>
    <w:uiPriority w:val="99"/>
    <w:rPr>
      <w:kern w:val="2"/>
      <w:sz w:val="18"/>
      <w:szCs w:val="18"/>
    </w:rPr>
  </w:style>
  <w:style w:type="character" w:customStyle="1" w:styleId="12">
    <w:name w:val="apple-style-spa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12</Pages>
  <Words>5946</Words>
  <Characters>6192</Characters>
  <Lines>61</Lines>
  <Paragraphs>17</Paragraphs>
  <TotalTime>10</TotalTime>
  <ScaleCrop>false</ScaleCrop>
  <LinksUpToDate>false</LinksUpToDate>
  <CharactersWithSpaces>6204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2025-09-08T00:39:00Z</dcterms:created>
  <dc:creator>雨林木风</dc:creator>
  <cp:lastModifiedBy>反相恰恰</cp:lastModifiedBy>
  <cp:lastPrinted>2025-10-23T00:47:00Z</cp:lastPrinted>
  <dcterms:modified xsi:type="dcterms:W3CDTF">2025-10-24T03:03:58Z</dcterms:modified>
  <dc:title>青山区N地块旧城区改建项目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AA3500B974CF484DAD1E2461F8E70066_13</vt:lpwstr>
  </property>
  <property fmtid="{D5CDD505-2E9C-101B-9397-08002B2CF9AE}" pid="4" name="KSOTemplateDocerSaveRecord">
    <vt:lpwstr>eyJoZGlkIjoiZDM3ZTBjYTE2MTFlNGI4NDg0ZmFlNWZjYTJhZmRmZWUiLCJ1c2VySWQiOiIxMjg3NzgxMTI2In0=</vt:lpwstr>
  </property>
</Properties>
</file>