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83834">
      <w:pPr>
        <w:snapToGrid w:val="0"/>
        <w:spacing w:line="600" w:lineRule="exact"/>
        <w:ind w:right="456" w:rightChars="228"/>
        <w:jc w:val="both"/>
        <w:rPr>
          <w:rFonts w:hint="eastAsia" w:ascii="黑体" w:hAnsi="黑体" w:eastAsia="黑体" w:cs="黑体"/>
          <w:b w:val="0"/>
          <w:bCs w:val="0"/>
          <w:spacing w:val="0"/>
          <w:sz w:val="32"/>
          <w:szCs w:val="32"/>
          <w:lang w:val="en-US" w:eastAsia="zh-CN"/>
        </w:rPr>
      </w:pPr>
      <w:bookmarkStart w:id="0" w:name="_GoBack"/>
      <w:bookmarkEnd w:id="0"/>
    </w:p>
    <w:p w14:paraId="3D8BABAD">
      <w:pPr>
        <w:snapToGrid w:val="0"/>
        <w:spacing w:line="600" w:lineRule="exact"/>
        <w:ind w:right="456" w:rightChars="228" w:firstLine="420"/>
        <w:jc w:val="center"/>
        <w:rPr>
          <w:rFonts w:hint="eastAsia" w:ascii="方正小标宋简体" w:hAnsi="方正小标宋简体" w:eastAsia="方正小标宋简体" w:cs="方正小标宋简体"/>
          <w:b/>
          <w:bCs/>
          <w:spacing w:val="11"/>
          <w:sz w:val="44"/>
          <w:szCs w:val="44"/>
        </w:rPr>
      </w:pPr>
      <w:r>
        <w:rPr>
          <w:rFonts w:hint="eastAsia" w:ascii="方正小标宋简体" w:hAnsi="方正小标宋简体" w:eastAsia="方正小标宋简体" w:cs="方正小标宋简体"/>
          <w:b/>
          <w:bCs/>
          <w:spacing w:val="11"/>
          <w:sz w:val="44"/>
          <w:szCs w:val="44"/>
          <w:lang w:eastAsia="zh-CN"/>
        </w:rPr>
        <w:t>化工新材料中试验证基地</w:t>
      </w:r>
      <w:r>
        <w:rPr>
          <w:rFonts w:hint="eastAsia" w:ascii="方正小标宋简体" w:hAnsi="方正小标宋简体" w:eastAsia="方正小标宋简体" w:cs="方正小标宋简体"/>
          <w:b/>
          <w:bCs/>
          <w:spacing w:val="11"/>
          <w:sz w:val="44"/>
          <w:szCs w:val="44"/>
        </w:rPr>
        <w:t>征收项目</w:t>
      </w:r>
    </w:p>
    <w:p w14:paraId="68DD9648">
      <w:pPr>
        <w:snapToGrid w:val="0"/>
        <w:spacing w:line="600" w:lineRule="exact"/>
        <w:ind w:right="456" w:rightChars="228" w:firstLine="2482" w:firstLineChars="509"/>
        <w:jc w:val="both"/>
        <w:rPr>
          <w:rFonts w:ascii="仿宋_GB2312" w:eastAsia="仿宋_GB2312"/>
          <w:b/>
          <w:bCs/>
          <w:spacing w:val="23"/>
          <w:sz w:val="44"/>
          <w:szCs w:val="44"/>
        </w:rPr>
      </w:pPr>
      <w:r>
        <w:rPr>
          <w:rFonts w:hint="eastAsia" w:ascii="方正小标宋简体" w:hAnsi="方正小标宋简体" w:eastAsia="方正小标宋简体" w:cs="方正小标宋简体"/>
          <w:b/>
          <w:bCs/>
          <w:spacing w:val="23"/>
          <w:sz w:val="44"/>
          <w:szCs w:val="44"/>
        </w:rPr>
        <w:t>征收补偿方案</w:t>
      </w:r>
    </w:p>
    <w:p w14:paraId="1AA1AFB2">
      <w:pPr>
        <w:snapToGrid w:val="0"/>
        <w:spacing w:line="564" w:lineRule="exact"/>
        <w:ind w:firstLine="2891" w:firstLineChars="900"/>
        <w:jc w:val="both"/>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(征求意见稿)</w:t>
      </w:r>
    </w:p>
    <w:p w14:paraId="7B04F46A">
      <w:pPr>
        <w:snapToGrid w:val="0"/>
        <w:spacing w:line="564" w:lineRule="exact"/>
        <w:ind w:firstLine="643" w:firstLineChars="200"/>
        <w:rPr>
          <w:rFonts w:hint="eastAsia" w:ascii="仿宋_GB2312" w:eastAsia="仿宋_GB2312"/>
          <w:b/>
          <w:bCs/>
          <w:sz w:val="32"/>
          <w:szCs w:val="32"/>
        </w:rPr>
      </w:pPr>
    </w:p>
    <w:p w14:paraId="3F3ADCE4">
      <w:pPr>
        <w:snapToGrid w:val="0"/>
        <w:spacing w:line="550" w:lineRule="exact"/>
        <w:ind w:firstLine="640" w:firstLineChars="200"/>
        <w:rPr>
          <w:rFonts w:hint="eastAsia" w:ascii="仿宋_GB2312" w:eastAsia="仿宋_GB2312"/>
          <w:sz w:val="32"/>
          <w:szCs w:val="32"/>
        </w:rPr>
      </w:pPr>
      <w:r>
        <w:rPr>
          <w:rFonts w:hint="eastAsia" w:ascii="仿宋_GB2312" w:eastAsia="仿宋_GB2312"/>
          <w:sz w:val="32"/>
          <w:szCs w:val="32"/>
        </w:rPr>
        <w:t>为加快旧城区改建，根据《国有土地上房屋征收与补偿条例》（国务院令第590号）等相关法律法规规定，青山区人民政府</w:t>
      </w:r>
      <w:r>
        <w:rPr>
          <w:rFonts w:hint="eastAsia" w:ascii="仿宋_GB2312" w:eastAsia="仿宋_GB2312"/>
          <w:sz w:val="32"/>
          <w:szCs w:val="32"/>
          <w:lang w:eastAsia="zh-CN"/>
        </w:rPr>
        <w:t>拟对化工新材料中试验证基地</w:t>
      </w:r>
      <w:r>
        <w:rPr>
          <w:rFonts w:hint="eastAsia" w:ascii="仿宋_GB2312" w:eastAsia="仿宋_GB2312"/>
          <w:sz w:val="32"/>
          <w:szCs w:val="32"/>
        </w:rPr>
        <w:t>征收项目国有土地上的房屋实施征收。该项目</w:t>
      </w:r>
      <w:r>
        <w:rPr>
          <w:rFonts w:hint="eastAsia" w:ascii="仿宋_GB2312" w:eastAsia="仿宋_GB2312"/>
          <w:sz w:val="32"/>
          <w:szCs w:val="32"/>
          <w:lang w:eastAsia="zh-CN"/>
        </w:rPr>
        <w:t>已</w:t>
      </w:r>
      <w:r>
        <w:rPr>
          <w:rFonts w:hint="eastAsia" w:ascii="仿宋_GB2312" w:eastAsia="仿宋_GB2312"/>
          <w:sz w:val="32"/>
          <w:szCs w:val="32"/>
        </w:rPr>
        <w:t>纳入青山区202</w:t>
      </w:r>
      <w:r>
        <w:rPr>
          <w:rFonts w:hint="eastAsia" w:ascii="仿宋_GB2312" w:eastAsia="仿宋_GB2312"/>
          <w:sz w:val="32"/>
          <w:szCs w:val="32"/>
          <w:lang w:val="en-US" w:eastAsia="zh-CN"/>
        </w:rPr>
        <w:t>5</w:t>
      </w:r>
      <w:r>
        <w:rPr>
          <w:rFonts w:hint="eastAsia" w:ascii="仿宋_GB2312" w:eastAsia="仿宋_GB2312"/>
          <w:sz w:val="32"/>
          <w:szCs w:val="32"/>
        </w:rPr>
        <w:t>年国民经济和社会发展计划</w:t>
      </w:r>
      <w:r>
        <w:rPr>
          <w:rFonts w:hint="eastAsia" w:ascii="仿宋_GB2312" w:eastAsia="仿宋_GB2312"/>
          <w:sz w:val="32"/>
          <w:szCs w:val="32"/>
          <w:lang w:eastAsia="zh-CN"/>
        </w:rPr>
        <w:t>，列入</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年度全市中心城区城市更新及房屋征收计划</w:t>
      </w:r>
      <w:r>
        <w:rPr>
          <w:rFonts w:hint="eastAsia" w:ascii="仿宋_GB2312" w:eastAsia="仿宋_GB2312"/>
          <w:sz w:val="32"/>
          <w:szCs w:val="32"/>
          <w:lang w:eastAsia="zh-CN"/>
        </w:rPr>
        <w:t>。</w:t>
      </w:r>
      <w:r>
        <w:rPr>
          <w:rFonts w:hint="eastAsia" w:ascii="仿宋_GB2312" w:eastAsia="仿宋_GB2312"/>
          <w:sz w:val="32"/>
          <w:szCs w:val="32"/>
        </w:rPr>
        <w:t>为依法实施房屋征收补偿工作，保障被征收人、公有房屋承租人的合法权益，现制定</w:t>
      </w:r>
      <w:r>
        <w:rPr>
          <w:rFonts w:hint="eastAsia" w:ascii="仿宋_GB2312" w:eastAsia="仿宋_GB2312"/>
          <w:sz w:val="32"/>
          <w:szCs w:val="32"/>
          <w:lang w:eastAsia="zh-CN"/>
        </w:rPr>
        <w:t>本</w:t>
      </w:r>
      <w:r>
        <w:rPr>
          <w:rFonts w:hint="eastAsia" w:ascii="仿宋_GB2312" w:eastAsia="仿宋_GB2312"/>
          <w:sz w:val="32"/>
          <w:szCs w:val="32"/>
        </w:rPr>
        <w:t>项目征收补偿方案。</w:t>
      </w:r>
    </w:p>
    <w:p w14:paraId="4B691CC2">
      <w:pPr>
        <w:snapToGrid w:val="0"/>
        <w:spacing w:line="550" w:lineRule="exact"/>
        <w:ind w:firstLine="640" w:firstLineChars="200"/>
        <w:rPr>
          <w:rFonts w:hint="eastAsia" w:ascii="黑体" w:eastAsia="黑体"/>
          <w:sz w:val="32"/>
          <w:szCs w:val="32"/>
        </w:rPr>
      </w:pPr>
      <w:r>
        <w:rPr>
          <w:rFonts w:hint="eastAsia" w:ascii="黑体" w:eastAsia="黑体"/>
          <w:sz w:val="32"/>
          <w:szCs w:val="32"/>
        </w:rPr>
        <w:t>一、法律依据</w:t>
      </w:r>
    </w:p>
    <w:p w14:paraId="1DECB241">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（一）《国有土地上房屋征收与补偿条例》（中华人民共和国国务院令第590号）</w:t>
      </w:r>
    </w:p>
    <w:p w14:paraId="00662AF5">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（二）《湖北省国有土地上房屋征收与补偿实施办法》（湖北省人民政府令第380号）</w:t>
      </w:r>
    </w:p>
    <w:p w14:paraId="5CDAB69E">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（三）《武汉市国有土地上房屋征收与补偿实施办法》（武汉市人民政府令第234号公布，第275号令修改，第312号令第二次修改，第3</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号令第</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次修改）</w:t>
      </w:r>
    </w:p>
    <w:p w14:paraId="21ECEB5A">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（四）《市人民政府关于印发武汉市国有土地上房屋征收与补偿操作指引的通知》（武政规〔2023〕7号）</w:t>
      </w:r>
    </w:p>
    <w:p w14:paraId="6A613E6B">
      <w:pPr>
        <w:snapToGrid w:val="0"/>
        <w:spacing w:line="550" w:lineRule="exact"/>
        <w:ind w:firstLine="596"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rPr>
        <w:t>（五）《国有土地上房屋征收评估办法》（建房〔2011〕77号）</w:t>
      </w:r>
    </w:p>
    <w:p w14:paraId="1D4452A3">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（六）其他相关法律法规</w:t>
      </w:r>
    </w:p>
    <w:p w14:paraId="3B6666D7">
      <w:pPr>
        <w:snapToGrid w:val="0"/>
        <w:spacing w:line="550" w:lineRule="exact"/>
        <w:ind w:firstLine="640" w:firstLineChars="200"/>
        <w:rPr>
          <w:rFonts w:hint="eastAsia" w:ascii="黑体" w:eastAsia="黑体"/>
          <w:sz w:val="32"/>
          <w:szCs w:val="32"/>
        </w:rPr>
      </w:pPr>
      <w:r>
        <w:rPr>
          <w:rFonts w:hint="eastAsia" w:ascii="黑体" w:eastAsia="黑体"/>
          <w:sz w:val="32"/>
          <w:szCs w:val="32"/>
        </w:rPr>
        <w:t>二、基本情况</w:t>
      </w:r>
    </w:p>
    <w:p w14:paraId="09E4204C">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（一）项目名称</w:t>
      </w:r>
    </w:p>
    <w:p w14:paraId="667EBE0B">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lang w:eastAsia="zh-CN"/>
        </w:rPr>
        <w:t>化工新材料中试验证基地</w:t>
      </w:r>
      <w:r>
        <w:rPr>
          <w:rFonts w:hint="eastAsia" w:ascii="仿宋_GB2312" w:hAnsi="仿宋" w:eastAsia="仿宋_GB2312"/>
          <w:sz w:val="32"/>
          <w:szCs w:val="32"/>
        </w:rPr>
        <w:t>征收项目</w:t>
      </w:r>
      <w:r>
        <w:rPr>
          <w:rFonts w:hint="eastAsia" w:ascii="仿宋_GB2312" w:hAnsi="仿宋_GB2312" w:eastAsia="仿宋_GB2312" w:cs="仿宋_GB2312"/>
          <w:sz w:val="32"/>
          <w:szCs w:val="32"/>
        </w:rPr>
        <w:t>。</w:t>
      </w:r>
    </w:p>
    <w:p w14:paraId="57245968">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（二）征收目的</w:t>
      </w:r>
    </w:p>
    <w:p w14:paraId="4953A9ED">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旧城区改建。</w:t>
      </w:r>
    </w:p>
    <w:p w14:paraId="6BDAF2CC">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（三）征收范围</w:t>
      </w:r>
    </w:p>
    <w:p w14:paraId="07064B73">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 w:eastAsia="仿宋_GB2312"/>
          <w:sz w:val="32"/>
          <w:szCs w:val="32"/>
        </w:rPr>
        <w:t>详见征收范围图。</w:t>
      </w:r>
    </w:p>
    <w:p w14:paraId="2508D725">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（四）调查概况</w:t>
      </w:r>
    </w:p>
    <w:p w14:paraId="096FFB77">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项目占地面积</w:t>
      </w:r>
      <w:r>
        <w:rPr>
          <w:rFonts w:hint="eastAsia" w:ascii="仿宋_GB2312" w:hAnsi="仿宋" w:eastAsia="仿宋_GB2312"/>
          <w:sz w:val="32"/>
          <w:szCs w:val="32"/>
        </w:rPr>
        <w:t>约</w:t>
      </w:r>
      <w:r>
        <w:rPr>
          <w:rFonts w:hint="eastAsia" w:ascii="仿宋_GB2312" w:hAnsi="仿宋" w:eastAsia="仿宋_GB2312"/>
          <w:sz w:val="32"/>
          <w:szCs w:val="32"/>
          <w:lang w:val="en-US" w:eastAsia="zh-CN"/>
        </w:rPr>
        <w:t>48000</w:t>
      </w:r>
      <w:r>
        <w:rPr>
          <w:rFonts w:hint="eastAsia" w:ascii="仿宋_GB2312" w:hAnsi="仿宋" w:eastAsia="仿宋_GB2312"/>
          <w:sz w:val="32"/>
          <w:szCs w:val="32"/>
        </w:rPr>
        <w:t>平</w:t>
      </w:r>
      <w:r>
        <w:rPr>
          <w:rFonts w:hint="eastAsia" w:ascii="仿宋_GB2312" w:hAnsi="仿宋_GB2312" w:eastAsia="仿宋_GB2312" w:cs="仿宋_GB2312"/>
          <w:sz w:val="32"/>
          <w:szCs w:val="32"/>
        </w:rPr>
        <w:t>方米（最终以实测为准），征收总户数</w:t>
      </w:r>
      <w:r>
        <w:rPr>
          <w:rFonts w:hint="eastAsia" w:ascii="仿宋" w:hAnsi="仿宋" w:eastAsia="仿宋" w:cs="仿宋_GB2312"/>
          <w:color w:val="auto"/>
          <w:sz w:val="32"/>
          <w:szCs w:val="32"/>
          <w:highlight w:val="none"/>
          <w:lang w:val="en-US" w:eastAsia="zh-CN"/>
        </w:rPr>
        <w:t>1</w:t>
      </w:r>
      <w:r>
        <w:rPr>
          <w:rFonts w:hint="eastAsia" w:ascii="仿宋_GB2312" w:hAnsi="仿宋_GB2312" w:eastAsia="仿宋_GB2312" w:cs="仿宋_GB2312"/>
          <w:sz w:val="32"/>
          <w:szCs w:val="32"/>
        </w:rPr>
        <w:t>户（具体数据均以审计结果为准）。</w:t>
      </w:r>
    </w:p>
    <w:p w14:paraId="4667A0A4">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（五）房屋征收部门</w:t>
      </w:r>
    </w:p>
    <w:p w14:paraId="4CCA9FEB">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武汉市青山区住房和城市更新局。</w:t>
      </w:r>
    </w:p>
    <w:p w14:paraId="3E5CCA83">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（六）房屋征收实施单位</w:t>
      </w:r>
    </w:p>
    <w:p w14:paraId="171FBB17">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武汉市青山区住房和城市更新局。</w:t>
      </w:r>
    </w:p>
    <w:p w14:paraId="4DF38DBC">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）评估时点</w:t>
      </w:r>
    </w:p>
    <w:p w14:paraId="7E43A90C">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评估时点为房屋征收决定公告之日。</w:t>
      </w:r>
    </w:p>
    <w:p w14:paraId="0D43BEF7">
      <w:pPr>
        <w:snapToGrid w:val="0"/>
        <w:spacing w:line="55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八</w:t>
      </w:r>
      <w:r>
        <w:rPr>
          <w:rFonts w:hint="eastAsia" w:ascii="楷体" w:hAnsi="楷体" w:eastAsia="楷体" w:cs="楷体"/>
          <w:sz w:val="32"/>
          <w:szCs w:val="32"/>
        </w:rPr>
        <w:t xml:space="preserve">）征收签约期限  </w:t>
      </w:r>
    </w:p>
    <w:p w14:paraId="36C99C49">
      <w:pPr>
        <w:snapToGrid w:val="0"/>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项目征收签约期限为3个月，自被征收房屋评估结果公布之日起计算。</w:t>
      </w:r>
    </w:p>
    <w:p w14:paraId="0F5D9C76">
      <w:pPr>
        <w:snapToGrid w:val="0"/>
        <w:spacing w:line="550" w:lineRule="exact"/>
        <w:ind w:firstLine="640" w:firstLineChars="200"/>
        <w:rPr>
          <w:rFonts w:hint="eastAsia" w:ascii="黑体" w:hAnsi="宋体" w:eastAsia="黑体"/>
          <w:sz w:val="32"/>
        </w:rPr>
      </w:pPr>
      <w:r>
        <w:rPr>
          <w:rFonts w:hint="eastAsia" w:ascii="黑体" w:hAnsi="宋体" w:eastAsia="黑体"/>
          <w:sz w:val="32"/>
        </w:rPr>
        <w:t>三、非住宅房屋的补偿</w:t>
      </w:r>
    </w:p>
    <w:p w14:paraId="6EC82453">
      <w:pPr>
        <w:snapToGrid w:val="0"/>
        <w:spacing w:line="550" w:lineRule="exact"/>
        <w:ind w:firstLine="640" w:firstLineChars="200"/>
        <w:rPr>
          <w:rFonts w:hint="eastAsia" w:ascii="楷体" w:hAnsi="楷体" w:eastAsia="楷体" w:cs="楷体"/>
          <w:sz w:val="32"/>
        </w:rPr>
      </w:pPr>
      <w:r>
        <w:rPr>
          <w:rFonts w:hint="eastAsia" w:ascii="楷体" w:hAnsi="楷体" w:eastAsia="楷体" w:cs="楷体"/>
          <w:sz w:val="32"/>
        </w:rPr>
        <w:t>补偿方式</w:t>
      </w:r>
    </w:p>
    <w:p w14:paraId="6D721B5F">
      <w:pPr>
        <w:snapToGrid w:val="0"/>
        <w:spacing w:line="550" w:lineRule="exact"/>
        <w:ind w:firstLine="640" w:firstLineChars="200"/>
        <w:contextualSpacing/>
        <w:rPr>
          <w:rFonts w:hint="eastAsia" w:ascii="仿宋_GB2312" w:hAnsi="仿宋_GB2312" w:eastAsia="仿宋_GB2312" w:cs="仿宋_GB2312"/>
          <w:sz w:val="32"/>
        </w:rPr>
      </w:pPr>
      <w:r>
        <w:rPr>
          <w:rFonts w:hint="eastAsia" w:ascii="仿宋_GB2312" w:hAnsi="仿宋_GB2312" w:eastAsia="仿宋_GB2312" w:cs="仿宋_GB2312"/>
          <w:sz w:val="32"/>
          <w:lang w:eastAsia="zh-CN"/>
        </w:rPr>
        <w:t>本项目未有建筑物，按</w:t>
      </w:r>
      <w:r>
        <w:rPr>
          <w:rFonts w:hint="eastAsia" w:ascii="仿宋_GB2312" w:hAnsi="仿宋_GB2312" w:eastAsia="仿宋_GB2312" w:cs="仿宋_GB2312"/>
          <w:sz w:val="32"/>
        </w:rPr>
        <w:t>货币补偿</w:t>
      </w:r>
      <w:r>
        <w:rPr>
          <w:rFonts w:hint="eastAsia" w:ascii="仿宋_GB2312" w:hAnsi="仿宋_GB2312" w:eastAsia="仿宋_GB2312" w:cs="仿宋_GB2312"/>
          <w:sz w:val="32"/>
          <w:lang w:eastAsia="zh-CN"/>
        </w:rPr>
        <w:t>方式补偿土地使用权价值。</w:t>
      </w:r>
    </w:p>
    <w:p w14:paraId="24022053">
      <w:pPr>
        <w:snapToGrid w:val="0"/>
        <w:spacing w:line="55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土</w:t>
      </w:r>
      <w:r>
        <w:rPr>
          <w:rFonts w:hint="eastAsia" w:ascii="仿宋_GB2312" w:hAnsi="仿宋_GB2312" w:eastAsia="仿宋_GB2312" w:cs="仿宋_GB2312"/>
          <w:sz w:val="32"/>
          <w:lang w:eastAsia="zh-CN"/>
        </w:rPr>
        <w:t>地使用权</w:t>
      </w:r>
      <w:r>
        <w:rPr>
          <w:rFonts w:hint="eastAsia" w:ascii="仿宋_GB2312" w:hAnsi="仿宋_GB2312" w:eastAsia="仿宋_GB2312" w:cs="仿宋_GB2312"/>
          <w:sz w:val="32"/>
        </w:rPr>
        <w:t>价值由依法选定的房地产价格评估机构按照评估办法评估，评估时点为房屋征收决定公告之日。</w:t>
      </w:r>
    </w:p>
    <w:p w14:paraId="23987CAB">
      <w:pPr>
        <w:spacing w:line="564" w:lineRule="exact"/>
        <w:ind w:firstLine="640" w:firstLineChars="200"/>
        <w:rPr>
          <w:rFonts w:hint="eastAsia" w:ascii="黑体" w:hAnsi="黑体" w:eastAsia="黑体" w:cs="黑体"/>
          <w:sz w:val="32"/>
          <w:lang w:val="en-US" w:eastAsia="zh-CN"/>
        </w:rPr>
      </w:pPr>
    </w:p>
    <w:p w14:paraId="20A10E64">
      <w:pPr>
        <w:spacing w:line="564" w:lineRule="exact"/>
        <w:ind w:firstLine="640" w:firstLineChars="200"/>
        <w:rPr>
          <w:rFonts w:hint="eastAsia" w:ascii="黑体" w:hAnsi="黑体" w:eastAsia="黑体" w:cs="黑体"/>
          <w:sz w:val="32"/>
        </w:rPr>
      </w:pPr>
      <w:r>
        <w:rPr>
          <w:rFonts w:hint="eastAsia" w:ascii="黑体" w:hAnsi="黑体" w:eastAsia="黑体" w:cs="黑体"/>
          <w:sz w:val="32"/>
          <w:lang w:val="en-US" w:eastAsia="zh-CN"/>
        </w:rPr>
        <w:t>四</w:t>
      </w:r>
      <w:r>
        <w:rPr>
          <w:rFonts w:hint="eastAsia" w:ascii="黑体" w:hAnsi="黑体" w:eastAsia="黑体" w:cs="黑体"/>
          <w:sz w:val="32"/>
        </w:rPr>
        <w:t>、奖励</w:t>
      </w:r>
    </w:p>
    <w:p w14:paraId="31B51A8E">
      <w:pPr>
        <w:spacing w:line="56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非住宅房屋签约奖励</w:t>
      </w:r>
    </w:p>
    <w:p w14:paraId="10296C45">
      <w:pPr>
        <w:spacing w:line="564"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在签约期限内签订补偿协议的，给予签约奖励，标准为：</w:t>
      </w:r>
    </w:p>
    <w:p w14:paraId="0B7B0DAB">
      <w:pPr>
        <w:spacing w:line="564"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奖励人民币</w:t>
      </w:r>
      <w:r>
        <w:rPr>
          <w:rFonts w:hint="eastAsia" w:ascii="仿宋_GB2312" w:hAnsi="仿宋_GB2312" w:eastAsia="仿宋_GB2312" w:cs="仿宋_GB2312"/>
          <w:sz w:val="32"/>
          <w:szCs w:val="32"/>
          <w:lang w:val="en-US" w:eastAsia="zh-CN"/>
        </w:rPr>
        <w:t>2000</w:t>
      </w:r>
      <w:r>
        <w:rPr>
          <w:rFonts w:hint="eastAsia" w:ascii="仿宋_GB2312" w:hAnsi="仿宋_GB2312" w:eastAsia="仿宋_GB2312" w:cs="仿宋_GB2312"/>
          <w:sz w:val="32"/>
          <w:szCs w:val="32"/>
        </w:rPr>
        <w:t>元/户。</w:t>
      </w:r>
    </w:p>
    <w:p w14:paraId="0C5E2A7A">
      <w:pPr>
        <w:spacing w:line="564" w:lineRule="exact"/>
        <w:ind w:firstLine="640" w:firstLineChars="200"/>
        <w:rPr>
          <w:rFonts w:hint="eastAsia" w:ascii="黑体" w:hAnsi="黑体" w:eastAsia="黑体" w:cs="黑体"/>
          <w:sz w:val="32"/>
          <w:lang w:val="en-US" w:eastAsia="zh-CN"/>
        </w:rPr>
      </w:pPr>
      <w:r>
        <w:rPr>
          <w:rFonts w:hint="eastAsia" w:ascii="黑体" w:hAnsi="黑体" w:eastAsia="黑体" w:cs="黑体"/>
          <w:sz w:val="32"/>
          <w:lang w:val="en-US" w:eastAsia="zh-CN"/>
        </w:rPr>
        <w:t>五、其他事项</w:t>
      </w:r>
    </w:p>
    <w:p w14:paraId="06E6E231">
      <w:pPr>
        <w:keepNext w:val="0"/>
        <w:keepLines w:val="0"/>
        <w:pageBreakBefore w:val="0"/>
        <w:widowControl w:val="0"/>
        <w:kinsoku w:val="0"/>
        <w:wordWrap w:val="0"/>
        <w:overflowPunct/>
        <w:topLinePunct w:val="0"/>
        <w:autoSpaceDE/>
        <w:autoSpaceDN/>
        <w:bidi w:val="0"/>
        <w:adjustRightInd/>
        <w:snapToGrid/>
        <w:spacing w:line="564"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（一）本方案未尽事宜按照国家及武汉市有关政策执行。</w:t>
      </w:r>
    </w:p>
    <w:p w14:paraId="24BD127F">
      <w:pPr>
        <w:keepNext w:val="0"/>
        <w:keepLines w:val="0"/>
        <w:pageBreakBefore w:val="0"/>
        <w:widowControl w:val="0"/>
        <w:kinsoku w:val="0"/>
        <w:wordWrap w:val="0"/>
        <w:overflowPunct/>
        <w:topLinePunct w:val="0"/>
        <w:autoSpaceDE/>
        <w:autoSpaceDN/>
        <w:bidi w:val="0"/>
        <w:adjustRightInd/>
        <w:snapToGrid/>
        <w:spacing w:line="564"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（二）本方案由武汉市青山区住房和城市更新局负责解释</w:t>
      </w:r>
      <w:r>
        <w:rPr>
          <w:rFonts w:hint="eastAsia" w:ascii="仿宋_GB2312" w:hAnsi="仿宋_GB2312" w:eastAsia="仿宋_GB2312" w:cs="仿宋_GB2312"/>
          <w:sz w:val="32"/>
          <w:szCs w:val="32"/>
          <w:lang w:eastAsia="zh-CN"/>
        </w:rPr>
        <w:t>。</w:t>
      </w:r>
    </w:p>
    <w:p w14:paraId="3BCAD585">
      <w:pPr>
        <w:keepNext w:val="0"/>
        <w:keepLines w:val="0"/>
        <w:pageBreakBefore w:val="0"/>
        <w:widowControl w:val="0"/>
        <w:kinsoku w:val="0"/>
        <w:wordWrap w:val="0"/>
        <w:overflowPunct/>
        <w:topLinePunct w:val="0"/>
        <w:autoSpaceDE/>
        <w:autoSpaceDN/>
        <w:bidi w:val="0"/>
        <w:adjustRightInd/>
        <w:snapToGrid/>
        <w:textAlignment w:val="auto"/>
        <w:rPr>
          <w:rFonts w:hint="eastAsia" w:ascii="仿宋_GB2312" w:hAnsi="仿宋_GB2312" w:eastAsia="仿宋_GB2312" w:cs="仿宋_GB2312"/>
          <w:sz w:val="32"/>
          <w:szCs w:val="32"/>
        </w:rPr>
      </w:pPr>
    </w:p>
    <w:p w14:paraId="6BA966D8">
      <w:pPr>
        <w:rPr>
          <w:rFonts w:hint="eastAsia" w:ascii="仿宋_GB2312" w:hAnsi="仿宋_GB2312" w:eastAsia="仿宋_GB2312" w:cs="仿宋_GB2312"/>
          <w:sz w:val="32"/>
          <w:szCs w:val="32"/>
        </w:rPr>
      </w:pPr>
    </w:p>
    <w:p w14:paraId="2BE5553D"/>
    <w:p w14:paraId="06126C23">
      <w:pPr>
        <w:keepNext w:val="0"/>
        <w:keepLines w:val="0"/>
        <w:pageBreakBefore w:val="0"/>
        <w:widowControl w:val="0"/>
        <w:kinsoku w:val="0"/>
        <w:wordWrap w:val="0"/>
        <w:overflowPunct/>
        <w:topLinePunct w:val="0"/>
        <w:autoSpaceDE/>
        <w:autoSpaceDN/>
        <w:bidi w:val="0"/>
        <w:adjustRightInd/>
        <w:snapToGrid/>
        <w:spacing w:line="564" w:lineRule="exact"/>
        <w:ind w:firstLine="640" w:firstLineChars="200"/>
        <w:textAlignment w:val="auto"/>
        <w:rPr>
          <w:rFonts w:hint="eastAsia" w:ascii="仿宋_GB2312" w:hAnsi="仿宋_GB2312" w:eastAsia="仿宋_GB2312" w:cs="仿宋_GB2312"/>
          <w:sz w:val="32"/>
          <w:szCs w:val="32"/>
        </w:rPr>
      </w:pPr>
    </w:p>
    <w:p w14:paraId="0C842281">
      <w:pPr>
        <w:keepNext w:val="0"/>
        <w:keepLines w:val="0"/>
        <w:pageBreakBefore w:val="0"/>
        <w:widowControl w:val="0"/>
        <w:kinsoku w:val="0"/>
        <w:wordWrap w:val="0"/>
        <w:overflowPunct/>
        <w:topLinePunct w:val="0"/>
        <w:autoSpaceDE/>
        <w:autoSpaceDN/>
        <w:bidi w:val="0"/>
        <w:adjustRightInd/>
        <w:snapToGrid/>
        <w:spacing w:line="56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青山区人民政府</w:t>
      </w:r>
    </w:p>
    <w:p w14:paraId="38B881B9">
      <w:pPr>
        <w:keepNext w:val="0"/>
        <w:keepLines w:val="0"/>
        <w:pageBreakBefore w:val="0"/>
        <w:widowControl w:val="0"/>
        <w:kinsoku w:val="0"/>
        <w:wordWrap w:val="0"/>
        <w:overflowPunct/>
        <w:topLinePunct w:val="0"/>
        <w:autoSpaceDE/>
        <w:autoSpaceDN/>
        <w:bidi w:val="0"/>
        <w:adjustRightInd/>
        <w:snapToGrid/>
        <w:spacing w:line="564"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2025年8月18日</w:t>
      </w:r>
    </w:p>
    <w:sectPr>
      <w:pgSz w:w="11906" w:h="16838"/>
      <w:pgMar w:top="1531"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D4603"/>
    <w:rsid w:val="00AE4E5E"/>
    <w:rsid w:val="01521C8D"/>
    <w:rsid w:val="03F1578E"/>
    <w:rsid w:val="06F35CC1"/>
    <w:rsid w:val="07E04497"/>
    <w:rsid w:val="095032EA"/>
    <w:rsid w:val="0B000076"/>
    <w:rsid w:val="0B452D95"/>
    <w:rsid w:val="0D197B03"/>
    <w:rsid w:val="0D7F02AE"/>
    <w:rsid w:val="0DDC74AE"/>
    <w:rsid w:val="0E0367E9"/>
    <w:rsid w:val="0EDD34DE"/>
    <w:rsid w:val="11606018"/>
    <w:rsid w:val="1168213C"/>
    <w:rsid w:val="166367D0"/>
    <w:rsid w:val="16777D74"/>
    <w:rsid w:val="1816180F"/>
    <w:rsid w:val="186C7681"/>
    <w:rsid w:val="1B7D4727"/>
    <w:rsid w:val="1D922662"/>
    <w:rsid w:val="1EE6018D"/>
    <w:rsid w:val="1F786F7F"/>
    <w:rsid w:val="1FE1153D"/>
    <w:rsid w:val="20780533"/>
    <w:rsid w:val="213D2E93"/>
    <w:rsid w:val="24596D0B"/>
    <w:rsid w:val="24D35DF1"/>
    <w:rsid w:val="25BA1A2C"/>
    <w:rsid w:val="29E52B9D"/>
    <w:rsid w:val="2D32459D"/>
    <w:rsid w:val="2D4A5D8B"/>
    <w:rsid w:val="2DB0354B"/>
    <w:rsid w:val="2DFA3F4E"/>
    <w:rsid w:val="2EC06E37"/>
    <w:rsid w:val="32197E6F"/>
    <w:rsid w:val="33BA01C6"/>
    <w:rsid w:val="35BE2E72"/>
    <w:rsid w:val="36681030"/>
    <w:rsid w:val="366829E2"/>
    <w:rsid w:val="3676199F"/>
    <w:rsid w:val="38CF5396"/>
    <w:rsid w:val="3A1A4D37"/>
    <w:rsid w:val="3B5B5607"/>
    <w:rsid w:val="3B5D137F"/>
    <w:rsid w:val="3B9A1C8B"/>
    <w:rsid w:val="3CBD0327"/>
    <w:rsid w:val="3D1B01A4"/>
    <w:rsid w:val="3D2D0651"/>
    <w:rsid w:val="3E8310FD"/>
    <w:rsid w:val="3FD03D4B"/>
    <w:rsid w:val="40923879"/>
    <w:rsid w:val="41A51C4B"/>
    <w:rsid w:val="47F866B8"/>
    <w:rsid w:val="499140F6"/>
    <w:rsid w:val="4A1946C3"/>
    <w:rsid w:val="4EA16333"/>
    <w:rsid w:val="4F19056E"/>
    <w:rsid w:val="50B43398"/>
    <w:rsid w:val="51CD0C7E"/>
    <w:rsid w:val="524325A2"/>
    <w:rsid w:val="52E02222"/>
    <w:rsid w:val="541303D5"/>
    <w:rsid w:val="5BB26369"/>
    <w:rsid w:val="5C9B365E"/>
    <w:rsid w:val="5F7143D0"/>
    <w:rsid w:val="622540F5"/>
    <w:rsid w:val="632E0D88"/>
    <w:rsid w:val="637B1AF3"/>
    <w:rsid w:val="645D5AE3"/>
    <w:rsid w:val="65E240AB"/>
    <w:rsid w:val="67AE693B"/>
    <w:rsid w:val="696F4604"/>
    <w:rsid w:val="6A5C442C"/>
    <w:rsid w:val="6AB91870"/>
    <w:rsid w:val="6B25107D"/>
    <w:rsid w:val="6D4F2026"/>
    <w:rsid w:val="6D882AA3"/>
    <w:rsid w:val="6F542DB0"/>
    <w:rsid w:val="70B0102E"/>
    <w:rsid w:val="72023B0B"/>
    <w:rsid w:val="72701EDF"/>
    <w:rsid w:val="73256E6C"/>
    <w:rsid w:val="75FD27F5"/>
    <w:rsid w:val="77071BC4"/>
    <w:rsid w:val="780236F1"/>
    <w:rsid w:val="7915133F"/>
    <w:rsid w:val="79674B9C"/>
    <w:rsid w:val="7B9D6653"/>
    <w:rsid w:val="7F8E5367"/>
    <w:rsid w:val="7FFC1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autoSpaceDE w:val="0"/>
      <w:autoSpaceDN w:val="0"/>
      <w:jc w:val="both"/>
    </w:pPr>
    <w:rPr>
      <w:rFonts w:ascii="方正大标宋简体" w:hAnsi="Times New Roman" w:eastAsia="方正大标宋简体" w:cs="Times New Roman"/>
      <w:kern w:val="2"/>
      <w:szCs w:val="24"/>
      <w:lang w:val="en-US" w:eastAsia="ko-KR"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20"/>
    </w:rPr>
  </w:style>
  <w:style w:type="character" w:styleId="6">
    <w:name w:val="page number"/>
    <w:qFormat/>
    <w:uiPriority w:val="0"/>
  </w:style>
  <w:style w:type="character" w:customStyle="1" w:styleId="7">
    <w:name w:val="apple-style-spa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859</Words>
  <Characters>897</Characters>
  <Lines>0</Lines>
  <Paragraphs>0</Paragraphs>
  <TotalTime>1</TotalTime>
  <ScaleCrop>false</ScaleCrop>
  <LinksUpToDate>false</LinksUpToDate>
  <CharactersWithSpaces>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2025-05-13T01:25:00Z</dcterms:created>
  <dc:creator>96588</dc:creator>
  <cp:lastModifiedBy>宛如清扬</cp:lastModifiedBy>
  <cp:lastPrinted>2025-08-05T01:23:00Z</cp:lastPrinted>
  <dcterms:modified xsi:type="dcterms:W3CDTF">2025-08-15T01:30:17Z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E05D133FF26F4D3483AB57AFC355D61B_12</vt:lpwstr>
  </property>
  <property fmtid="{D5CDD505-2E9C-101B-9397-08002B2CF9AE}" pid="4" name="KSOTemplateDocerSaveRecord">
    <vt:lpwstr>eyJoZGlkIjoiNjBlNDkyMzkwNTA2MjFmZTMzNmQ1MGIzMTIyYmQ2ZTkiLCJ1c2VySWQiOiIxNzI5ODUwNzIyIn0=</vt:lpwstr>
  </property>
</Properties>
</file>