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E2453">
      <w:pPr>
        <w:spacing w:line="600" w:lineRule="exact"/>
        <w:jc w:val="both"/>
        <w:rPr>
          <w:rFonts w:hint="eastAsia" w:ascii="黑体" w:hAnsi="黑体" w:eastAsia="黑体" w:cs="黑体"/>
          <w:bCs/>
          <w:color w:val="auto"/>
          <w:sz w:val="32"/>
          <w:szCs w:val="32"/>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件</w:t>
      </w:r>
    </w:p>
    <w:p w14:paraId="23463342">
      <w:pPr>
        <w:spacing w:line="600" w:lineRule="exact"/>
        <w:jc w:val="both"/>
        <w:rPr>
          <w:rFonts w:hint="eastAsia" w:ascii="黑体" w:hAnsi="黑体" w:eastAsia="黑体" w:cs="黑体"/>
          <w:bCs/>
          <w:color w:val="auto"/>
          <w:sz w:val="32"/>
          <w:szCs w:val="32"/>
        </w:rPr>
      </w:pPr>
      <w:bookmarkStart w:id="0" w:name="_GoBack"/>
      <w:bookmarkEnd w:id="0"/>
    </w:p>
    <w:p w14:paraId="2E539F32">
      <w:pPr>
        <w:spacing w:line="600" w:lineRule="exact"/>
        <w:jc w:val="center"/>
        <w:rPr>
          <w:rFonts w:hint="eastAsia" w:ascii="华文中宋" w:hAnsi="华文中宋" w:eastAsia="华文中宋" w:cs="华文中宋"/>
          <w:bCs/>
          <w:color w:val="auto"/>
          <w:sz w:val="44"/>
          <w:szCs w:val="44"/>
        </w:rPr>
      </w:pPr>
      <w:r>
        <w:rPr>
          <w:rFonts w:hint="eastAsia" w:ascii="华文中宋" w:hAnsi="华文中宋" w:eastAsia="华文中宋" w:cs="华文中宋"/>
          <w:bCs/>
          <w:color w:val="auto"/>
          <w:sz w:val="44"/>
          <w:szCs w:val="44"/>
        </w:rPr>
        <w:t>严西湖北路（船舶园路—康庄路）道路排水</w:t>
      </w:r>
    </w:p>
    <w:p w14:paraId="34D37301">
      <w:pPr>
        <w:spacing w:line="600" w:lineRule="exact"/>
        <w:jc w:val="center"/>
        <w:rPr>
          <w:rFonts w:hint="eastAsia" w:ascii="华文中宋" w:hAnsi="华文中宋" w:eastAsia="华文中宋" w:cs="华文中宋"/>
          <w:bCs/>
          <w:color w:val="auto"/>
          <w:sz w:val="44"/>
          <w:szCs w:val="44"/>
        </w:rPr>
      </w:pPr>
      <w:r>
        <w:rPr>
          <w:rFonts w:hint="eastAsia" w:ascii="华文中宋" w:hAnsi="华文中宋" w:eastAsia="华文中宋" w:cs="华文中宋"/>
          <w:bCs/>
          <w:color w:val="auto"/>
          <w:sz w:val="44"/>
          <w:szCs w:val="44"/>
        </w:rPr>
        <w:t>工程房屋征收项目征收补偿方案</w:t>
      </w:r>
    </w:p>
    <w:p w14:paraId="614F403F">
      <w:pPr>
        <w:spacing w:line="530" w:lineRule="exact"/>
        <w:ind w:firstLine="3520" w:firstLineChars="1100"/>
        <w:jc w:val="both"/>
        <w:rPr>
          <w:rFonts w:hint="eastAsia" w:ascii="仿宋_GB2312" w:eastAsia="仿宋_GB2312"/>
          <w:color w:val="auto"/>
          <w:sz w:val="32"/>
          <w:szCs w:val="32"/>
        </w:rPr>
      </w:pPr>
      <w:r>
        <w:rPr>
          <w:rFonts w:hint="eastAsia" w:ascii="仿宋_GB2312" w:eastAsia="仿宋_GB2312"/>
          <w:color w:val="auto"/>
          <w:sz w:val="32"/>
          <w:szCs w:val="32"/>
        </w:rPr>
        <w:t>（修订稿）</w:t>
      </w:r>
    </w:p>
    <w:p w14:paraId="1707C746">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
          <w:color w:val="auto"/>
          <w:sz w:val="32"/>
          <w:szCs w:val="32"/>
        </w:rPr>
      </w:pPr>
    </w:p>
    <w:p w14:paraId="2693B39C">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实施交通基础设施建设，根据《国有土地上房屋征收与补偿条例》（国务院令第590号）等相关法律法规规定，青山区人民政府拟对严西湖北路（船舶园路—康庄路）道路排水工程房屋征收项目国有土地上的房屋实施征收。该项目经区发改局立项批复（《区发改局关于严西湖北路（船舶园路—康庄路）道路排水工程可行性研究报告（代项目建议书）的批复》青发改政〔2020〕13号），已在武汉市自然资源和规划局青山分局办理</w:t>
      </w:r>
      <w:r>
        <w:rPr>
          <w:rFonts w:hint="eastAsia" w:ascii="仿宋" w:hAnsi="仿宋" w:eastAsia="仿宋" w:cs="仿宋"/>
          <w:color w:val="auto"/>
          <w:spacing w:val="6"/>
          <w:sz w:val="32"/>
          <w:szCs w:val="32"/>
        </w:rPr>
        <w:t>《建设项目用地预审与选址意见书》</w:t>
      </w:r>
      <w:r>
        <w:rPr>
          <w:rFonts w:hint="eastAsia" w:ascii="仿宋" w:hAnsi="仿宋" w:eastAsia="仿宋" w:cs="仿宋"/>
          <w:color w:val="auto"/>
          <w:sz w:val="32"/>
          <w:szCs w:val="32"/>
        </w:rPr>
        <w:t>（武自规（青）用〔2020〕007号）。为依法实施房屋征收补偿工作，保障被征收人、公有房屋承租人的合法权益，现制定该项目征收补偿方案。</w:t>
      </w:r>
    </w:p>
    <w:p w14:paraId="2F087AC8">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一、法律依据</w:t>
      </w:r>
    </w:p>
    <w:p w14:paraId="291D8609">
      <w:pPr>
        <w:keepNext w:val="0"/>
        <w:keepLines w:val="0"/>
        <w:pageBreakBefore w:val="0"/>
        <w:kinsoku/>
        <w:wordWrap/>
        <w:overflowPunct/>
        <w:topLinePunct w:val="0"/>
        <w:autoSpaceDE/>
        <w:autoSpaceDN/>
        <w:bidi w:val="0"/>
        <w:adjustRightInd/>
        <w:spacing w:line="660" w:lineRule="exact"/>
        <w:ind w:firstLine="596" w:firstLineChars="200"/>
        <w:textAlignment w:val="auto"/>
        <w:rPr>
          <w:rFonts w:hint="eastAsia" w:ascii="仿宋" w:hAnsi="仿宋" w:eastAsia="仿宋" w:cs="仿宋"/>
          <w:color w:val="auto"/>
          <w:spacing w:val="-11"/>
          <w:sz w:val="32"/>
          <w:szCs w:val="32"/>
        </w:rPr>
      </w:pPr>
      <w:r>
        <w:rPr>
          <w:rFonts w:hint="eastAsia" w:ascii="仿宋" w:hAnsi="仿宋" w:eastAsia="仿宋" w:cs="仿宋"/>
          <w:color w:val="auto"/>
          <w:spacing w:val="-11"/>
          <w:sz w:val="32"/>
          <w:szCs w:val="32"/>
        </w:rPr>
        <w:t>（一）</w:t>
      </w:r>
      <w:r>
        <w:rPr>
          <w:rFonts w:hint="eastAsia" w:ascii="仿宋" w:hAnsi="仿宋" w:eastAsia="仿宋" w:cs="仿宋"/>
          <w:color w:val="auto"/>
          <w:sz w:val="32"/>
          <w:szCs w:val="32"/>
        </w:rPr>
        <w:t>《国有土地上房屋征收与补偿条例》（中华人民共和国国务院令第590号）</w:t>
      </w:r>
    </w:p>
    <w:p w14:paraId="709A7A77">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（二）《湖北省国有土地上房屋征收与补偿实施办法》（湖北省人民政府令第380号）</w:t>
      </w:r>
    </w:p>
    <w:p w14:paraId="14634DBE">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（三）《武汉市国有土地上房屋征收与补偿实施办法》（武汉市人民政府令第234号公布，第275号令修改，第312号令第二次修改，</w:t>
      </w:r>
      <w:r>
        <w:rPr>
          <w:rFonts w:hint="eastAsia" w:ascii="仿宋" w:hAnsi="仿宋" w:eastAsia="仿宋" w:cs="仿宋"/>
          <w:sz w:val="32"/>
          <w:szCs w:val="32"/>
        </w:rPr>
        <w:t>第3</w:t>
      </w:r>
      <w:r>
        <w:rPr>
          <w:rFonts w:hint="eastAsia" w:ascii="仿宋" w:hAnsi="仿宋" w:eastAsia="仿宋" w:cs="仿宋"/>
          <w:sz w:val="32"/>
          <w:szCs w:val="32"/>
          <w:lang w:val="en-US" w:eastAsia="zh-CN"/>
        </w:rPr>
        <w:t>22</w:t>
      </w:r>
      <w:r>
        <w:rPr>
          <w:rFonts w:hint="eastAsia" w:ascii="仿宋" w:hAnsi="仿宋" w:eastAsia="仿宋" w:cs="仿宋"/>
          <w:sz w:val="32"/>
          <w:szCs w:val="32"/>
        </w:rPr>
        <w:t>号令第</w:t>
      </w:r>
      <w:r>
        <w:rPr>
          <w:rFonts w:hint="eastAsia" w:ascii="仿宋" w:hAnsi="仿宋" w:eastAsia="仿宋" w:cs="仿宋"/>
          <w:sz w:val="32"/>
          <w:szCs w:val="32"/>
          <w:lang w:val="en-US" w:eastAsia="zh-CN"/>
        </w:rPr>
        <w:t>三</w:t>
      </w:r>
      <w:r>
        <w:rPr>
          <w:rFonts w:hint="eastAsia" w:ascii="仿宋" w:hAnsi="仿宋" w:eastAsia="仿宋" w:cs="仿宋"/>
          <w:sz w:val="32"/>
          <w:szCs w:val="32"/>
        </w:rPr>
        <w:t>次修改</w:t>
      </w:r>
      <w:r>
        <w:rPr>
          <w:rFonts w:hint="eastAsia" w:ascii="仿宋" w:hAnsi="仿宋" w:eastAsia="仿宋" w:cs="仿宋"/>
          <w:color w:val="auto"/>
          <w:sz w:val="32"/>
          <w:szCs w:val="32"/>
        </w:rPr>
        <w:t>）</w:t>
      </w:r>
    </w:p>
    <w:p w14:paraId="640042A4">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（四）《市人民政府关于印发武汉市国有土地上房屋征收与补偿操作指引的通知》（武政规</w:t>
      </w:r>
      <w:r>
        <w:rPr>
          <w:rFonts w:hint="eastAsia" w:ascii="仿宋" w:hAnsi="仿宋" w:eastAsia="仿宋" w:cs="仿宋"/>
          <w:color w:val="auto"/>
          <w:spacing w:val="-11"/>
          <w:sz w:val="32"/>
          <w:szCs w:val="32"/>
        </w:rPr>
        <w:t>〔2023〕7号</w:t>
      </w:r>
      <w:r>
        <w:rPr>
          <w:rFonts w:hint="eastAsia" w:ascii="仿宋" w:hAnsi="仿宋" w:eastAsia="仿宋" w:cs="仿宋"/>
          <w:color w:val="auto"/>
          <w:sz w:val="32"/>
          <w:szCs w:val="32"/>
        </w:rPr>
        <w:t>）</w:t>
      </w:r>
    </w:p>
    <w:p w14:paraId="0096FB6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pacing w:val="-11"/>
          <w:sz w:val="32"/>
          <w:szCs w:val="32"/>
        </w:rPr>
      </w:pPr>
      <w:r>
        <w:rPr>
          <w:rFonts w:hint="eastAsia" w:ascii="仿宋" w:hAnsi="仿宋" w:eastAsia="仿宋" w:cs="仿宋"/>
          <w:color w:val="auto"/>
          <w:sz w:val="32"/>
          <w:szCs w:val="32"/>
        </w:rPr>
        <w:t>（五）</w:t>
      </w:r>
      <w:r>
        <w:rPr>
          <w:rFonts w:hint="eastAsia" w:ascii="仿宋" w:hAnsi="仿宋" w:eastAsia="仿宋" w:cs="仿宋"/>
          <w:color w:val="auto"/>
          <w:spacing w:val="-11"/>
          <w:sz w:val="32"/>
          <w:szCs w:val="32"/>
        </w:rPr>
        <w:t>《国有土地上房屋征收评估办法》（建房〔2011〕77号）</w:t>
      </w:r>
    </w:p>
    <w:p w14:paraId="60095EDD">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（六）其他相关法律法规</w:t>
      </w:r>
    </w:p>
    <w:p w14:paraId="3E0C7157">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二、基本情况　</w:t>
      </w:r>
    </w:p>
    <w:p w14:paraId="6EFCC75C">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（一）项目名称</w:t>
      </w:r>
    </w:p>
    <w:p w14:paraId="7D568A9D">
      <w:pPr>
        <w:keepNext w:val="0"/>
        <w:keepLines w:val="0"/>
        <w:pageBreakBefore w:val="0"/>
        <w:kinsoku/>
        <w:wordWrap/>
        <w:overflowPunct/>
        <w:topLinePunct w:val="0"/>
        <w:autoSpaceDE/>
        <w:autoSpaceDN/>
        <w:bidi w:val="0"/>
        <w:adjustRightInd/>
        <w:spacing w:line="660" w:lineRule="exact"/>
        <w:ind w:firstLine="616" w:firstLineChars="200"/>
        <w:textAlignment w:val="auto"/>
        <w:rPr>
          <w:rFonts w:hint="eastAsia" w:ascii="仿宋" w:hAnsi="仿宋" w:eastAsia="仿宋" w:cs="仿宋"/>
          <w:color w:val="auto"/>
          <w:spacing w:val="-6"/>
          <w:sz w:val="32"/>
          <w:szCs w:val="32"/>
          <w:lang w:eastAsia="zh-CN"/>
        </w:rPr>
      </w:pPr>
      <w:r>
        <w:rPr>
          <w:rFonts w:hint="eastAsia" w:ascii="仿宋" w:hAnsi="仿宋" w:eastAsia="仿宋" w:cs="仿宋"/>
          <w:color w:val="auto"/>
          <w:spacing w:val="-6"/>
          <w:sz w:val="32"/>
          <w:szCs w:val="32"/>
        </w:rPr>
        <w:t>严西湖北路（船舶园路—康庄路）道路排水工程房屋征收项目</w:t>
      </w:r>
      <w:r>
        <w:rPr>
          <w:rFonts w:hint="eastAsia" w:ascii="仿宋" w:hAnsi="仿宋" w:eastAsia="仿宋" w:cs="仿宋"/>
          <w:color w:val="auto"/>
          <w:spacing w:val="-6"/>
          <w:sz w:val="32"/>
          <w:szCs w:val="32"/>
          <w:lang w:eastAsia="zh-CN"/>
        </w:rPr>
        <w:t>。</w:t>
      </w:r>
    </w:p>
    <w:p w14:paraId="53624D20">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征收目的</w:t>
      </w:r>
    </w:p>
    <w:p w14:paraId="155FE96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实施交通基础设施建设。</w:t>
      </w:r>
    </w:p>
    <w:p w14:paraId="737FF2FA">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征收范围（不含集体土地）</w:t>
      </w:r>
    </w:p>
    <w:p w14:paraId="1C6B6EF6">
      <w:pPr>
        <w:keepNext w:val="0"/>
        <w:keepLines w:val="0"/>
        <w:pageBreakBefore w:val="0"/>
        <w:kinsoku/>
        <w:wordWrap/>
        <w:overflowPunct/>
        <w:topLinePunct w:val="0"/>
        <w:autoSpaceDE/>
        <w:autoSpaceDN/>
        <w:bidi w:val="0"/>
        <w:adjustRightInd/>
        <w:spacing w:line="66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该项目东起康庄路，西至船舶园路（详见拟征收范围图）。</w:t>
      </w:r>
    </w:p>
    <w:p w14:paraId="736136FF">
      <w:pPr>
        <w:keepNext w:val="0"/>
        <w:keepLines w:val="0"/>
        <w:pageBreakBefore w:val="0"/>
        <w:kinsoku/>
        <w:wordWrap/>
        <w:overflowPunct/>
        <w:topLinePunct w:val="0"/>
        <w:autoSpaceDE/>
        <w:autoSpaceDN/>
        <w:bidi w:val="0"/>
        <w:adjustRightInd/>
        <w:spacing w:line="66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调查概况</w:t>
      </w:r>
    </w:p>
    <w:p w14:paraId="42434320">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该项目占地面积约115968.05平方米（最终以实测为准），征收总户数约1户、征收房屋建筑面积约2254.76平方米（具体数据均以审计结果为准）。</w:t>
      </w:r>
    </w:p>
    <w:p w14:paraId="0AD36D8D">
      <w:pPr>
        <w:keepNext w:val="0"/>
        <w:keepLines w:val="0"/>
        <w:pageBreakBefore w:val="0"/>
        <w:kinsoku/>
        <w:wordWrap/>
        <w:overflowPunct/>
        <w:topLinePunct w:val="0"/>
        <w:autoSpaceDE/>
        <w:autoSpaceDN/>
        <w:bidi w:val="0"/>
        <w:adjustRightInd/>
        <w:spacing w:line="660" w:lineRule="exact"/>
        <w:ind w:firstLine="645"/>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（五）房屋征收部门</w:t>
      </w:r>
    </w:p>
    <w:p w14:paraId="165B42FE">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武汉市青山区住房和城市更新局。</w:t>
      </w:r>
    </w:p>
    <w:p w14:paraId="15214E7D">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房屋征收实施单位</w:t>
      </w:r>
    </w:p>
    <w:p w14:paraId="483962FB">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武汉市青山区人民政府白玉山街道办事处。</w:t>
      </w:r>
    </w:p>
    <w:p w14:paraId="44BCE890">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（七）被征收人和公有房屋承租人</w:t>
      </w:r>
    </w:p>
    <w:p w14:paraId="6D468740">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被征收人是指被征收房屋的所有权人。</w:t>
      </w:r>
    </w:p>
    <w:p w14:paraId="02E0A5AD">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公有房屋承租人是指与公有房屋的产权人或者管理人建立租赁关系，并执行政府规定标准租金的直管公房和自管公房承租人，公共租赁住房、廉租住房的承租人除外。</w:t>
      </w:r>
    </w:p>
    <w:p w14:paraId="2B859A9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（八）被征收房屋建筑面积和房屋用途的认定</w:t>
      </w:r>
    </w:p>
    <w:p w14:paraId="6BF3C0A3">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50B6C2FC">
      <w:pPr>
        <w:keepNext w:val="0"/>
        <w:keepLines w:val="0"/>
        <w:pageBreakBefore w:val="0"/>
        <w:kinsoku/>
        <w:wordWrap/>
        <w:overflowPunct/>
        <w:topLinePunct w:val="0"/>
        <w:autoSpaceDE/>
        <w:autoSpaceDN/>
        <w:bidi w:val="0"/>
        <w:adjustRightInd/>
        <w:snapToGrid w:val="0"/>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（九）评估时点</w:t>
      </w:r>
    </w:p>
    <w:p w14:paraId="3081E5A6">
      <w:pPr>
        <w:keepNext w:val="0"/>
        <w:keepLines w:val="0"/>
        <w:pageBreakBefore w:val="0"/>
        <w:kinsoku/>
        <w:wordWrap/>
        <w:overflowPunct/>
        <w:topLinePunct w:val="0"/>
        <w:autoSpaceDE/>
        <w:autoSpaceDN/>
        <w:bidi w:val="0"/>
        <w:adjustRightInd/>
        <w:snapToGrid w:val="0"/>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评估时点为房屋征收决定公告之日。</w:t>
      </w:r>
    </w:p>
    <w:p w14:paraId="6A7A85CA">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（十）征收签约期限</w:t>
      </w:r>
    </w:p>
    <w:p w14:paraId="13C3B18B">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该项目征收签约期限为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个月，自被征收房屋评估结果公布之日起计算。</w:t>
      </w:r>
    </w:p>
    <w:p w14:paraId="45E7D6AB">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三、住宅房屋的补偿</w:t>
      </w:r>
    </w:p>
    <w:p w14:paraId="74C0FF3A">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（一）补偿方式和被征收房屋价值补偿</w:t>
      </w:r>
    </w:p>
    <w:p w14:paraId="44FCB9CD">
      <w:pPr>
        <w:keepNext w:val="0"/>
        <w:keepLines w:val="0"/>
        <w:pageBreakBefore w:val="0"/>
        <w:kinsoku/>
        <w:wordWrap/>
        <w:overflowPunct/>
        <w:topLinePunct w:val="0"/>
        <w:autoSpaceDE/>
        <w:autoSpaceDN/>
        <w:bidi w:val="0"/>
        <w:adjustRightInd/>
        <w:spacing w:line="660" w:lineRule="exact"/>
        <w:ind w:firstLine="640" w:firstLineChars="200"/>
        <w:contextualSpacing/>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被征收人已确认选定货币补偿方式。</w:t>
      </w:r>
    </w:p>
    <w:p w14:paraId="5D0DC695">
      <w:pPr>
        <w:keepNext w:val="0"/>
        <w:keepLines w:val="0"/>
        <w:pageBreakBefore w:val="0"/>
        <w:kinsoku/>
        <w:wordWrap/>
        <w:overflowPunct/>
        <w:topLinePunct w:val="0"/>
        <w:autoSpaceDE/>
        <w:autoSpaceDN/>
        <w:bidi w:val="0"/>
        <w:adjustRightInd/>
        <w:snapToGrid w:val="0"/>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被征收房屋的价值由该项目评估机构按照《国有土地上房屋征收评估办法》（建房〔2011〕77号）评估确定。</w:t>
      </w:r>
    </w:p>
    <w:p w14:paraId="490D7ED9">
      <w:pPr>
        <w:keepNext w:val="0"/>
        <w:keepLines w:val="0"/>
        <w:pageBreakBefore w:val="0"/>
        <w:kinsoku/>
        <w:wordWrap/>
        <w:overflowPunct/>
        <w:topLinePunct w:val="0"/>
        <w:autoSpaceDE/>
        <w:autoSpaceDN/>
        <w:bidi w:val="0"/>
        <w:adjustRightInd/>
        <w:snapToGrid w:val="0"/>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房屋征收部门按照被征收房屋价值向被征收人、公有房屋承租人支付货币补偿费。</w:t>
      </w:r>
    </w:p>
    <w:p w14:paraId="5C7FEB67">
      <w:pPr>
        <w:keepNext w:val="0"/>
        <w:keepLines w:val="0"/>
        <w:pageBreakBefore w:val="0"/>
        <w:kinsoku/>
        <w:wordWrap/>
        <w:overflowPunct/>
        <w:topLinePunct w:val="0"/>
        <w:autoSpaceDE/>
        <w:autoSpaceDN/>
        <w:bidi w:val="0"/>
        <w:adjustRightInd/>
        <w:snapToGrid w:val="0"/>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被征收房屋价值补偿费＝被征收房屋建筑面积（证载建筑面积＋经认定为合法住宅建筑面积＋经认定为历史遗留未经登记建筑打折后的建筑面积）×被征收房屋评估单价。</w:t>
      </w:r>
    </w:p>
    <w:p w14:paraId="54409EFF">
      <w:pPr>
        <w:keepNext w:val="0"/>
        <w:keepLines w:val="0"/>
        <w:pageBreakBefore w:val="0"/>
        <w:widowControl/>
        <w:tabs>
          <w:tab w:val="right" w:pos="8730"/>
        </w:tabs>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（二）直管、自管公有住宅房屋补偿</w:t>
      </w:r>
      <w:r>
        <w:rPr>
          <w:rFonts w:hint="eastAsia" w:ascii="仿宋" w:hAnsi="仿宋" w:eastAsia="仿宋" w:cs="仿宋"/>
          <w:color w:val="auto"/>
          <w:sz w:val="32"/>
        </w:rPr>
        <w:tab/>
      </w:r>
    </w:p>
    <w:p w14:paraId="32C84B11">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09588607">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公有房屋承租人选择货币补偿的，租赁关系终止，对被征收人按被征收房屋价值补偿费的10％给予补偿，对公有房屋承租人（凭《武汉市公有房屋住宅租约》或产权单位确权证明）按被征收房屋价值补偿费的90％给予补偿。房屋征收部门与被征收人、公有房屋承租人分别签订房屋征收补偿协议。</w:t>
      </w:r>
    </w:p>
    <w:p w14:paraId="083C88EC">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（三）住宅房屋搬迁补偿</w:t>
      </w:r>
    </w:p>
    <w:p w14:paraId="16FA84CD">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给予被征收人、公有房屋承租人搬迁费1600元/户。</w:t>
      </w:r>
    </w:p>
    <w:p w14:paraId="53958F90">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（四）住宅房屋临时安置补偿</w:t>
      </w:r>
    </w:p>
    <w:p w14:paraId="6B0D74FB">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临时安置补偿费由选定的房地产价格评估机构按照被征收房屋类似房地产市场租赁价格评估确定，评估时点为房屋征收决定公告之日。一次性支付被征收人或者公有房屋承租人3个月临时安置补偿费。</w:t>
      </w:r>
    </w:p>
    <w:p w14:paraId="5C1D2296">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（五）补助</w:t>
      </w:r>
    </w:p>
    <w:p w14:paraId="77DC13BC">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1.保底面积补助：</w:t>
      </w:r>
    </w:p>
    <w:p w14:paraId="551CFC48">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征收个人住宅，建筑面积（证载建筑面积＋经认定为合法住宅建筑面积＋经认定为历史遗留未经登记</w:t>
      </w:r>
      <w:r>
        <w:rPr>
          <w:rFonts w:hint="eastAsia" w:ascii="仿宋" w:hAnsi="仿宋" w:eastAsia="仿宋" w:cs="仿宋"/>
          <w:color w:val="auto"/>
          <w:sz w:val="32"/>
          <w:szCs w:val="32"/>
        </w:rPr>
        <w:t>建筑</w:t>
      </w:r>
      <w:r>
        <w:rPr>
          <w:rFonts w:hint="eastAsia" w:ascii="仿宋" w:hAnsi="仿宋" w:eastAsia="仿宋" w:cs="仿宋"/>
          <w:color w:val="auto"/>
          <w:sz w:val="32"/>
        </w:rPr>
        <w:t>打折后的建筑面积）不足40平方米（涉及房屋所有权、公有房屋承租权共有的，房屋建筑面积合并计算），且为被征收人、公有房屋承租人唯一住房的，按照40平方米给予征收补偿。</w:t>
      </w:r>
    </w:p>
    <w:p w14:paraId="66CD1C88">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公有房屋承租人符合前款条件的，超出被征收房屋建筑面积部分的货币补偿款由房屋征收部门全部支付给公有房屋承租人。</w:t>
      </w:r>
    </w:p>
    <w:p w14:paraId="61A1A443">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2.个人住宅房屋生活困难补助：</w:t>
      </w:r>
    </w:p>
    <w:p w14:paraId="41A6A0F4">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（1）低保困难补助：</w:t>
      </w:r>
    </w:p>
    <w:p w14:paraId="196A809B">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被征收人、公有房屋承租人或其法定被监护人、直系亲属已纳入本市城市居民最低生活保障户，按20000元/户给予一次性补助。</w:t>
      </w:r>
    </w:p>
    <w:p w14:paraId="5FFD45BA">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（2）重症患者困难补助：</w:t>
      </w:r>
    </w:p>
    <w:p w14:paraId="6A497AD6">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被征收人、公有房屋承租人或其法定被监护人、直系亲属经本市社保部门认定为重症患者，按10000元/人给予一次性补助。</w:t>
      </w:r>
    </w:p>
    <w:p w14:paraId="3232CF2F">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（3）残疾困难补助：</w:t>
      </w:r>
    </w:p>
    <w:p w14:paraId="366B8F0A">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被征收人、公有房屋承租人或其法定被监护人、直系亲属持有省（市）残联核发的残疾证，按20000元/人给予一次性补助。同时对残疾人家庭搬迁费增加50％、临时安置费增加20％。</w:t>
      </w:r>
    </w:p>
    <w:p w14:paraId="01353655">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被征收人或公有房屋承租人如符合上述低保、重症、残疾三项补助条件中的多项，困难补助可累加计算，但每户最高不超过5万元。</w:t>
      </w:r>
    </w:p>
    <w:p w14:paraId="39C2690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（4）失独家庭困难补助：</w:t>
      </w:r>
    </w:p>
    <w:p w14:paraId="6CE77F36">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被征收户系失独家庭的，由所在社区出具证明，经街道相关部门复核后，按10000元/户给予一次性补助。</w:t>
      </w:r>
    </w:p>
    <w:p w14:paraId="325CBAA7">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以上直系亲属系指被征收人、公有房屋承租人的配偶、子女和父母（含配偶父母）。</w:t>
      </w:r>
    </w:p>
    <w:p w14:paraId="6A9F1C2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3.个人住房困难补助：</w:t>
      </w:r>
    </w:p>
    <w:p w14:paraId="60B4236E">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征收个人住宅，建筑面积（证载建筑面积＋经认定为合法住宅建筑面积＋经认定为历史遗留未经登记</w:t>
      </w:r>
      <w:r>
        <w:rPr>
          <w:rFonts w:hint="eastAsia" w:ascii="仿宋" w:hAnsi="仿宋" w:eastAsia="仿宋" w:cs="仿宋"/>
          <w:color w:val="auto"/>
          <w:sz w:val="32"/>
          <w:szCs w:val="32"/>
        </w:rPr>
        <w:t>建筑</w:t>
      </w:r>
      <w:r>
        <w:rPr>
          <w:rFonts w:hint="eastAsia" w:ascii="仿宋" w:hAnsi="仿宋" w:eastAsia="仿宋" w:cs="仿宋"/>
          <w:color w:val="auto"/>
          <w:sz w:val="32"/>
        </w:rPr>
        <w:t>打折后的建筑面积）不足60平方米（涉及到房屋所有权、承租权共有的房屋建筑面积合并计算）且为被征收人、公有房屋承租人唯一住房，被征收人、公有房屋承租人选择货币补偿的，可以给予住房困难补助。补助标准为：建筑面积为40平方米以下（含40平方米）的，按被征收房屋价值的10%给予补助，建筑面积每增加1个平方米，补助标准降低0.5%。</w:t>
      </w:r>
    </w:p>
    <w:p w14:paraId="23699FA9">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4.个人住宅房屋改变用途的补助：</w:t>
      </w:r>
    </w:p>
    <w:p w14:paraId="071E23ED">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征收个人住宅，被征收人、公有房屋承租人自行改变房屋用途作为生产经营性用房使用的，应当按照住宅房屋给予征收补偿。在《武汉市国有土地上房屋征收与补偿实施办法》公布前（即2012年12月3日前），住宅已作为商业门面（系指用于商业经营的一楼门面）使用，且以该住宅为注册地址办理了工商营业执照的，对其实际用于经营面积部分（具有相应资质的测绘单位实测确定）给予补助，补助标准为同地段类似商业门面与被征收住宅房屋市场评估价格差额的50％。</w:t>
      </w:r>
    </w:p>
    <w:p w14:paraId="2DEFEBB1">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四、非住宅房屋的补偿</w:t>
      </w:r>
    </w:p>
    <w:p w14:paraId="674B66CA">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（一）补偿方式和被征收房屋价值补偿</w:t>
      </w:r>
    </w:p>
    <w:p w14:paraId="58FFC0DF">
      <w:pPr>
        <w:keepNext w:val="0"/>
        <w:keepLines w:val="0"/>
        <w:pageBreakBefore w:val="0"/>
        <w:kinsoku/>
        <w:wordWrap/>
        <w:overflowPunct/>
        <w:topLinePunct w:val="0"/>
        <w:autoSpaceDE/>
        <w:autoSpaceDN/>
        <w:bidi w:val="0"/>
        <w:adjustRightInd/>
        <w:spacing w:line="660" w:lineRule="exact"/>
        <w:ind w:firstLine="640" w:firstLineChars="200"/>
        <w:contextualSpacing/>
        <w:textAlignment w:val="auto"/>
        <w:rPr>
          <w:rFonts w:hint="eastAsia" w:ascii="仿宋" w:hAnsi="仿宋" w:eastAsia="仿宋" w:cs="仿宋"/>
          <w:color w:val="auto"/>
          <w:sz w:val="32"/>
        </w:rPr>
      </w:pPr>
      <w:r>
        <w:rPr>
          <w:rFonts w:hint="eastAsia" w:ascii="仿宋" w:hAnsi="仿宋" w:eastAsia="仿宋" w:cs="仿宋"/>
          <w:color w:val="auto"/>
          <w:sz w:val="32"/>
        </w:rPr>
        <w:t>被征收人已确定选择货币补偿方式。</w:t>
      </w:r>
    </w:p>
    <w:p w14:paraId="061FA1F7">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被征收房屋价值由依法选定的房地产价格评估机构按照评估办法评估，并结合被征收房屋证载建筑面积和用途确定，评估时点为房屋征收决定公告之日。</w:t>
      </w:r>
    </w:p>
    <w:p w14:paraId="73A65B0F">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pacing w:val="-6"/>
          <w:sz w:val="32"/>
        </w:rPr>
      </w:pPr>
      <w:r>
        <w:rPr>
          <w:rFonts w:hint="eastAsia" w:ascii="仿宋" w:hAnsi="仿宋" w:eastAsia="仿宋" w:cs="仿宋"/>
          <w:color w:val="auto"/>
          <w:sz w:val="32"/>
        </w:rPr>
        <w:t>被征收房屋价值补偿费＝</w:t>
      </w:r>
      <w:r>
        <w:rPr>
          <w:rFonts w:hint="eastAsia" w:ascii="仿宋" w:hAnsi="仿宋" w:eastAsia="仿宋" w:cs="仿宋"/>
          <w:color w:val="auto"/>
          <w:sz w:val="32"/>
          <w:szCs w:val="32"/>
        </w:rPr>
        <w:t>被征收房屋</w:t>
      </w:r>
      <w:r>
        <w:rPr>
          <w:rFonts w:hint="eastAsia" w:ascii="仿宋" w:hAnsi="仿宋" w:eastAsia="仿宋" w:cs="仿宋"/>
          <w:color w:val="auto"/>
          <w:sz w:val="32"/>
        </w:rPr>
        <w:t>证载建筑面积</w:t>
      </w:r>
      <w:r>
        <w:rPr>
          <w:rFonts w:hint="eastAsia" w:ascii="仿宋" w:hAnsi="仿宋" w:eastAsia="仿宋" w:cs="仿宋"/>
          <w:color w:val="auto"/>
          <w:sz w:val="32"/>
          <w:szCs w:val="32"/>
        </w:rPr>
        <w:t>×被征收房屋评估单价。</w:t>
      </w:r>
    </w:p>
    <w:p w14:paraId="233BE8B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（二）设备搬迁补偿</w:t>
      </w:r>
    </w:p>
    <w:p w14:paraId="04275EE2">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非住宅房屋可恢复使用的设备搬迁补偿费参照同期市场价格，并经选定的房地产价格评估机构评估确定。</w:t>
      </w:r>
    </w:p>
    <w:p w14:paraId="472A8E74">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对无法恢复使用的设备，按购置价扣除折旧后，由选定的房地产价格评估机构评估计算一次性费用。</w:t>
      </w:r>
    </w:p>
    <w:p w14:paraId="5BC560F5">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（三）临时安置补偿</w:t>
      </w:r>
    </w:p>
    <w:p w14:paraId="55350D96">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征收办公用房及其他非生产经营性用房，选择货币补偿的，一次性支付被征收人或者公有房屋承租人3个月的临时安置补偿费。</w:t>
      </w:r>
    </w:p>
    <w:p w14:paraId="25D70659">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临时安置补偿费由选定的房地产价格评估机构按照被征收房屋类似房地产市场租赁价格评估确定，评估时点为房屋征收决定公告之日。</w:t>
      </w:r>
    </w:p>
    <w:p w14:paraId="06EAD53B">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（四）停产停业损失补偿</w:t>
      </w:r>
    </w:p>
    <w:p w14:paraId="21E54F98">
      <w:pPr>
        <w:keepNext w:val="0"/>
        <w:keepLines w:val="0"/>
        <w:pageBreakBefore w:val="0"/>
        <w:kinsoku/>
        <w:wordWrap/>
        <w:overflowPunct/>
        <w:topLinePunct w:val="0"/>
        <w:autoSpaceDE/>
        <w:autoSpaceDN/>
        <w:bidi w:val="0"/>
        <w:adjustRightIn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65385CF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w:t>
      </w:r>
    </w:p>
    <w:p w14:paraId="329AF85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（五）</w:t>
      </w:r>
      <w:r>
        <w:rPr>
          <w:rFonts w:hint="eastAsia" w:ascii="仿宋" w:hAnsi="仿宋" w:eastAsia="仿宋" w:cs="仿宋"/>
          <w:color w:val="auto"/>
          <w:sz w:val="32"/>
          <w:lang w:eastAsia="zh-CN"/>
        </w:rPr>
        <w:t>非住宅房屋</w:t>
      </w:r>
      <w:r>
        <w:rPr>
          <w:rFonts w:hint="eastAsia" w:ascii="仿宋" w:hAnsi="仿宋" w:eastAsia="仿宋" w:cs="仿宋"/>
          <w:color w:val="auto"/>
          <w:sz w:val="32"/>
        </w:rPr>
        <w:t>改变用途</w:t>
      </w:r>
      <w:r>
        <w:rPr>
          <w:rFonts w:hint="eastAsia" w:ascii="仿宋" w:hAnsi="仿宋" w:eastAsia="仿宋" w:cs="仿宋"/>
          <w:color w:val="auto"/>
          <w:sz w:val="32"/>
          <w:lang w:eastAsia="zh-CN"/>
        </w:rPr>
        <w:t>的</w:t>
      </w:r>
      <w:r>
        <w:rPr>
          <w:rFonts w:hint="eastAsia" w:ascii="仿宋" w:hAnsi="仿宋" w:eastAsia="仿宋" w:cs="仿宋"/>
          <w:color w:val="auto"/>
          <w:sz w:val="32"/>
        </w:rPr>
        <w:t>补助</w:t>
      </w:r>
    </w:p>
    <w:p w14:paraId="15A2EC3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武汉市国有土地上房屋征收与补偿实施办法》公布前（即2012年12月3日前），对被征收人、公有房屋承租人改变非住宅房屋用途已作为商业门面（系指用于商业经营的一楼门面）使用，且以该房屋为注册地址办理了工商营业执照的，除按照原房屋证载用途予以补偿之外，若改变用途部分房屋实际价值高于原房屋证载用途价值的，对其实际用于经营</w:t>
      </w:r>
      <w:r>
        <w:rPr>
          <w:rFonts w:hint="eastAsia" w:ascii="仿宋" w:hAnsi="仿宋" w:eastAsia="仿宋" w:cs="仿宋"/>
          <w:color w:val="auto"/>
          <w:sz w:val="32"/>
          <w:szCs w:val="32"/>
          <w:lang w:eastAsia="zh-CN"/>
        </w:rPr>
        <w:t>面积</w:t>
      </w:r>
      <w:r>
        <w:rPr>
          <w:rFonts w:hint="eastAsia" w:ascii="仿宋" w:hAnsi="仿宋" w:eastAsia="仿宋" w:cs="仿宋"/>
          <w:color w:val="auto"/>
          <w:sz w:val="32"/>
          <w:szCs w:val="32"/>
        </w:rPr>
        <w:t>部分</w:t>
      </w:r>
      <w:r>
        <w:rPr>
          <w:rFonts w:hint="eastAsia" w:ascii="仿宋" w:hAnsi="仿宋" w:eastAsia="仿宋" w:cs="仿宋"/>
          <w:color w:val="auto"/>
          <w:sz w:val="32"/>
          <w:szCs w:val="32"/>
          <w:lang w:eastAsia="zh-CN"/>
        </w:rPr>
        <w:t>（具有相应资质的测绘单位实测确定）</w:t>
      </w:r>
      <w:r>
        <w:rPr>
          <w:rFonts w:hint="eastAsia" w:ascii="仿宋" w:hAnsi="仿宋" w:eastAsia="仿宋" w:cs="仿宋"/>
          <w:color w:val="auto"/>
          <w:sz w:val="32"/>
          <w:szCs w:val="32"/>
        </w:rPr>
        <w:t>，可以根据经营情况、经营年限及纳税等实际情况</w:t>
      </w:r>
      <w:r>
        <w:rPr>
          <w:rFonts w:hint="eastAsia" w:ascii="仿宋" w:hAnsi="仿宋" w:eastAsia="仿宋" w:cs="仿宋"/>
          <w:color w:val="auto"/>
          <w:sz w:val="32"/>
          <w:szCs w:val="32"/>
          <w:lang w:eastAsia="zh-CN"/>
        </w:rPr>
        <w:t>给予补助</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补助标准为</w:t>
      </w:r>
      <w:r>
        <w:rPr>
          <w:rFonts w:hint="eastAsia" w:ascii="仿宋" w:hAnsi="仿宋" w:eastAsia="仿宋" w:cs="仿宋"/>
          <w:color w:val="auto"/>
          <w:sz w:val="32"/>
          <w:szCs w:val="32"/>
        </w:rPr>
        <w:t>两者价差的30%。</w:t>
      </w:r>
    </w:p>
    <w:p w14:paraId="562B1D9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五、房屋附属设施的补偿</w:t>
      </w:r>
    </w:p>
    <w:p w14:paraId="307839C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b w:val="0"/>
          <w:bCs w:val="0"/>
          <w:color w:val="auto"/>
          <w:sz w:val="32"/>
        </w:rPr>
      </w:pPr>
      <w:r>
        <w:rPr>
          <w:rFonts w:hint="eastAsia" w:ascii="仿宋" w:hAnsi="仿宋" w:eastAsia="仿宋" w:cs="仿宋"/>
          <w:b w:val="0"/>
          <w:bCs w:val="0"/>
          <w:color w:val="auto"/>
          <w:sz w:val="32"/>
        </w:rPr>
        <w:t>（一）</w:t>
      </w:r>
      <w:r>
        <w:rPr>
          <w:rFonts w:hint="eastAsia" w:ascii="仿宋" w:hAnsi="仿宋" w:eastAsia="仿宋" w:cs="仿宋"/>
          <w:b w:val="0"/>
          <w:bCs w:val="0"/>
          <w:color w:val="auto"/>
          <w:sz w:val="32"/>
          <w:lang w:eastAsia="zh-CN"/>
        </w:rPr>
        <w:t>室内装饰装修补偿</w:t>
      </w:r>
    </w:p>
    <w:p w14:paraId="5A69BC2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792F444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b w:val="0"/>
          <w:bCs w:val="0"/>
          <w:color w:val="auto"/>
          <w:sz w:val="32"/>
          <w:lang w:eastAsia="zh-CN"/>
        </w:rPr>
      </w:pPr>
      <w:r>
        <w:rPr>
          <w:rFonts w:hint="eastAsia" w:ascii="仿宋" w:hAnsi="仿宋" w:eastAsia="仿宋" w:cs="仿宋"/>
          <w:b w:val="0"/>
          <w:bCs w:val="0"/>
          <w:color w:val="auto"/>
          <w:sz w:val="32"/>
          <w:lang w:eastAsia="zh-CN"/>
        </w:rPr>
        <w:t>（二）自行封闭阳台和搭建的夹层、假层、暗楼、无烟灶台、吊脚楼、外挑等的补偿</w:t>
      </w:r>
    </w:p>
    <w:p w14:paraId="387DBE0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b w:val="0"/>
          <w:bCs w:val="0"/>
          <w:color w:val="auto"/>
          <w:sz w:val="32"/>
          <w:lang w:eastAsia="zh-CN"/>
        </w:rPr>
      </w:pPr>
    </w:p>
    <w:p w14:paraId="33536B32">
      <w:pPr>
        <w:spacing w:line="160" w:lineRule="exact"/>
        <w:rPr>
          <w:rFonts w:hint="eastAsia" w:ascii="仿宋" w:hAnsi="仿宋" w:eastAsia="仿宋" w:cs="仿宋"/>
          <w:color w:val="auto"/>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2475"/>
        <w:gridCol w:w="1907"/>
        <w:gridCol w:w="2914"/>
      </w:tblGrid>
      <w:tr w14:paraId="2233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98" w:type="dxa"/>
            <w:gridSpan w:val="2"/>
            <w:noWrap w:val="0"/>
            <w:vAlign w:val="center"/>
          </w:tcPr>
          <w:p w14:paraId="51F37D7B">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名  称</w:t>
            </w:r>
          </w:p>
        </w:tc>
        <w:tc>
          <w:tcPr>
            <w:tcW w:w="1907" w:type="dxa"/>
            <w:noWrap w:val="0"/>
            <w:vAlign w:val="center"/>
          </w:tcPr>
          <w:p w14:paraId="20969162">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补偿标准</w:t>
            </w:r>
          </w:p>
        </w:tc>
        <w:tc>
          <w:tcPr>
            <w:tcW w:w="2914" w:type="dxa"/>
            <w:noWrap w:val="0"/>
            <w:vAlign w:val="center"/>
          </w:tcPr>
          <w:p w14:paraId="0BA16C87">
            <w:pPr>
              <w:widowControl/>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标准说明</w:t>
            </w:r>
          </w:p>
        </w:tc>
      </w:tr>
      <w:tr w14:paraId="0CB8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23" w:type="dxa"/>
            <w:vMerge w:val="restart"/>
            <w:noWrap w:val="0"/>
            <w:vAlign w:val="center"/>
          </w:tcPr>
          <w:p w14:paraId="03211C93">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自行封闭阳台</w:t>
            </w:r>
          </w:p>
        </w:tc>
        <w:tc>
          <w:tcPr>
            <w:tcW w:w="2475" w:type="dxa"/>
            <w:noWrap w:val="0"/>
            <w:vAlign w:val="center"/>
          </w:tcPr>
          <w:p w14:paraId="3D7AC639">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铝合金材料封闭</w:t>
            </w:r>
          </w:p>
        </w:tc>
        <w:tc>
          <w:tcPr>
            <w:tcW w:w="1907" w:type="dxa"/>
            <w:noWrap w:val="0"/>
            <w:vAlign w:val="center"/>
          </w:tcPr>
          <w:p w14:paraId="3D9BB13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1000元/个</w:t>
            </w:r>
          </w:p>
        </w:tc>
        <w:tc>
          <w:tcPr>
            <w:tcW w:w="2914" w:type="dxa"/>
            <w:noWrap w:val="0"/>
            <w:vAlign w:val="center"/>
          </w:tcPr>
          <w:p w14:paraId="64524E61">
            <w:pPr>
              <w:widowControl/>
              <w:rPr>
                <w:rFonts w:hint="eastAsia" w:ascii="仿宋" w:hAnsi="仿宋" w:eastAsia="仿宋" w:cs="仿宋"/>
                <w:color w:val="auto"/>
                <w:kern w:val="0"/>
                <w:sz w:val="24"/>
              </w:rPr>
            </w:pPr>
          </w:p>
        </w:tc>
      </w:tr>
      <w:tr w14:paraId="306B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23" w:type="dxa"/>
            <w:vMerge w:val="continue"/>
            <w:noWrap w:val="0"/>
            <w:vAlign w:val="center"/>
          </w:tcPr>
          <w:p w14:paraId="70DF1F70">
            <w:pPr>
              <w:widowControl/>
              <w:jc w:val="left"/>
              <w:rPr>
                <w:rFonts w:hint="eastAsia" w:ascii="仿宋" w:hAnsi="仿宋" w:eastAsia="仿宋" w:cs="仿宋"/>
                <w:color w:val="auto"/>
                <w:kern w:val="0"/>
                <w:sz w:val="24"/>
              </w:rPr>
            </w:pPr>
          </w:p>
        </w:tc>
        <w:tc>
          <w:tcPr>
            <w:tcW w:w="2475" w:type="dxa"/>
            <w:noWrap w:val="0"/>
            <w:vAlign w:val="center"/>
          </w:tcPr>
          <w:p w14:paraId="76EE7615">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塑钢窗材料封闭</w:t>
            </w:r>
          </w:p>
        </w:tc>
        <w:tc>
          <w:tcPr>
            <w:tcW w:w="1907" w:type="dxa"/>
            <w:noWrap w:val="0"/>
            <w:vAlign w:val="center"/>
          </w:tcPr>
          <w:p w14:paraId="65D658B2">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1500元/个</w:t>
            </w:r>
          </w:p>
        </w:tc>
        <w:tc>
          <w:tcPr>
            <w:tcW w:w="2914" w:type="dxa"/>
            <w:noWrap w:val="0"/>
            <w:vAlign w:val="center"/>
          </w:tcPr>
          <w:p w14:paraId="15B7B8F4">
            <w:pPr>
              <w:widowControl/>
              <w:jc w:val="center"/>
              <w:rPr>
                <w:rFonts w:hint="eastAsia" w:ascii="仿宋" w:hAnsi="仿宋" w:eastAsia="仿宋" w:cs="仿宋"/>
                <w:color w:val="auto"/>
                <w:kern w:val="0"/>
                <w:sz w:val="24"/>
              </w:rPr>
            </w:pPr>
          </w:p>
        </w:tc>
      </w:tr>
      <w:tr w14:paraId="3DDF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723" w:type="dxa"/>
            <w:vMerge w:val="continue"/>
            <w:noWrap w:val="0"/>
            <w:vAlign w:val="center"/>
          </w:tcPr>
          <w:p w14:paraId="2F558A98">
            <w:pPr>
              <w:widowControl/>
              <w:jc w:val="left"/>
              <w:rPr>
                <w:rFonts w:hint="eastAsia" w:ascii="仿宋" w:hAnsi="仿宋" w:eastAsia="仿宋" w:cs="仿宋"/>
                <w:color w:val="auto"/>
                <w:kern w:val="0"/>
                <w:sz w:val="24"/>
              </w:rPr>
            </w:pPr>
          </w:p>
        </w:tc>
        <w:tc>
          <w:tcPr>
            <w:tcW w:w="2475" w:type="dxa"/>
            <w:noWrap w:val="0"/>
            <w:vAlign w:val="center"/>
          </w:tcPr>
          <w:p w14:paraId="17095C80">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木窗／铁窗材料封闭</w:t>
            </w:r>
          </w:p>
        </w:tc>
        <w:tc>
          <w:tcPr>
            <w:tcW w:w="1907" w:type="dxa"/>
            <w:noWrap w:val="0"/>
            <w:vAlign w:val="center"/>
          </w:tcPr>
          <w:p w14:paraId="7008441F">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700元/个</w:t>
            </w:r>
          </w:p>
        </w:tc>
        <w:tc>
          <w:tcPr>
            <w:tcW w:w="2914" w:type="dxa"/>
            <w:noWrap w:val="0"/>
            <w:vAlign w:val="center"/>
          </w:tcPr>
          <w:p w14:paraId="2E43A11D">
            <w:pPr>
              <w:widowControl/>
              <w:jc w:val="center"/>
              <w:rPr>
                <w:rFonts w:hint="eastAsia" w:ascii="仿宋" w:hAnsi="仿宋" w:eastAsia="仿宋" w:cs="仿宋"/>
                <w:color w:val="auto"/>
                <w:kern w:val="0"/>
                <w:sz w:val="24"/>
              </w:rPr>
            </w:pPr>
          </w:p>
        </w:tc>
      </w:tr>
      <w:tr w14:paraId="1AF2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723" w:type="dxa"/>
            <w:vMerge w:val="restart"/>
            <w:noWrap w:val="0"/>
            <w:vAlign w:val="center"/>
          </w:tcPr>
          <w:p w14:paraId="25C104E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夹层、假层、居住暗楼</w:t>
            </w:r>
          </w:p>
        </w:tc>
        <w:tc>
          <w:tcPr>
            <w:tcW w:w="2475" w:type="dxa"/>
            <w:noWrap w:val="0"/>
            <w:vAlign w:val="center"/>
          </w:tcPr>
          <w:p w14:paraId="21086C6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工字钢、槽钢、角钢</w:t>
            </w:r>
          </w:p>
        </w:tc>
        <w:tc>
          <w:tcPr>
            <w:tcW w:w="1907" w:type="dxa"/>
            <w:noWrap w:val="0"/>
            <w:vAlign w:val="center"/>
          </w:tcPr>
          <w:p w14:paraId="33C71958">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350元/平方米</w:t>
            </w:r>
          </w:p>
        </w:tc>
        <w:tc>
          <w:tcPr>
            <w:tcW w:w="2914" w:type="dxa"/>
            <w:vMerge w:val="restart"/>
            <w:noWrap w:val="0"/>
            <w:vAlign w:val="center"/>
          </w:tcPr>
          <w:p w14:paraId="52A5FE2B">
            <w:pPr>
              <w:widowControl/>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层高＜1.5米，打7折。无固定楼梯、栏杆，打8折。面积由项目部确定，绘在房屋征收验收单上，项目部盖章。</w:t>
            </w:r>
          </w:p>
        </w:tc>
      </w:tr>
      <w:tr w14:paraId="73D9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23" w:type="dxa"/>
            <w:vMerge w:val="continue"/>
            <w:noWrap w:val="0"/>
            <w:vAlign w:val="center"/>
          </w:tcPr>
          <w:p w14:paraId="7BB56EAE">
            <w:pPr>
              <w:widowControl/>
              <w:jc w:val="left"/>
              <w:rPr>
                <w:rFonts w:hint="eastAsia" w:ascii="仿宋" w:hAnsi="仿宋" w:eastAsia="仿宋" w:cs="仿宋"/>
                <w:color w:val="auto"/>
                <w:kern w:val="0"/>
                <w:sz w:val="24"/>
              </w:rPr>
            </w:pPr>
          </w:p>
        </w:tc>
        <w:tc>
          <w:tcPr>
            <w:tcW w:w="2475" w:type="dxa"/>
            <w:noWrap w:val="0"/>
            <w:vAlign w:val="center"/>
          </w:tcPr>
          <w:p w14:paraId="35497299">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现浇楼板</w:t>
            </w:r>
          </w:p>
        </w:tc>
        <w:tc>
          <w:tcPr>
            <w:tcW w:w="1907" w:type="dxa"/>
            <w:noWrap w:val="0"/>
            <w:vAlign w:val="center"/>
          </w:tcPr>
          <w:p w14:paraId="4EB47241">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400元/平方米</w:t>
            </w:r>
          </w:p>
        </w:tc>
        <w:tc>
          <w:tcPr>
            <w:tcW w:w="2914" w:type="dxa"/>
            <w:vMerge w:val="continue"/>
            <w:noWrap w:val="0"/>
            <w:vAlign w:val="center"/>
          </w:tcPr>
          <w:p w14:paraId="5B5E757B">
            <w:pPr>
              <w:widowControl/>
              <w:spacing w:line="360" w:lineRule="exact"/>
              <w:jc w:val="left"/>
              <w:rPr>
                <w:rFonts w:hint="eastAsia" w:ascii="仿宋" w:hAnsi="仿宋" w:eastAsia="仿宋" w:cs="仿宋"/>
                <w:color w:val="auto"/>
                <w:kern w:val="0"/>
                <w:sz w:val="24"/>
              </w:rPr>
            </w:pPr>
          </w:p>
        </w:tc>
      </w:tr>
      <w:tr w14:paraId="5BCC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23" w:type="dxa"/>
            <w:vMerge w:val="continue"/>
            <w:noWrap w:val="0"/>
            <w:vAlign w:val="center"/>
          </w:tcPr>
          <w:p w14:paraId="57B4ADFC">
            <w:pPr>
              <w:widowControl/>
              <w:jc w:val="left"/>
              <w:rPr>
                <w:rFonts w:hint="eastAsia" w:ascii="仿宋" w:hAnsi="仿宋" w:eastAsia="仿宋" w:cs="仿宋"/>
                <w:color w:val="auto"/>
                <w:kern w:val="0"/>
                <w:sz w:val="24"/>
              </w:rPr>
            </w:pPr>
          </w:p>
        </w:tc>
        <w:tc>
          <w:tcPr>
            <w:tcW w:w="2475" w:type="dxa"/>
            <w:noWrap w:val="0"/>
            <w:vAlign w:val="center"/>
          </w:tcPr>
          <w:p w14:paraId="5E500542">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预制楼板</w:t>
            </w:r>
          </w:p>
        </w:tc>
        <w:tc>
          <w:tcPr>
            <w:tcW w:w="1907" w:type="dxa"/>
            <w:noWrap w:val="0"/>
            <w:vAlign w:val="center"/>
          </w:tcPr>
          <w:p w14:paraId="0BADB800">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250元/平方米</w:t>
            </w:r>
          </w:p>
        </w:tc>
        <w:tc>
          <w:tcPr>
            <w:tcW w:w="2914" w:type="dxa"/>
            <w:vMerge w:val="continue"/>
            <w:noWrap w:val="0"/>
            <w:vAlign w:val="center"/>
          </w:tcPr>
          <w:p w14:paraId="457E4335">
            <w:pPr>
              <w:widowControl/>
              <w:spacing w:line="360" w:lineRule="exact"/>
              <w:jc w:val="left"/>
              <w:rPr>
                <w:rFonts w:hint="eastAsia" w:ascii="仿宋" w:hAnsi="仿宋" w:eastAsia="仿宋" w:cs="仿宋"/>
                <w:color w:val="auto"/>
                <w:kern w:val="0"/>
                <w:sz w:val="24"/>
              </w:rPr>
            </w:pPr>
          </w:p>
        </w:tc>
      </w:tr>
      <w:tr w14:paraId="7232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23" w:type="dxa"/>
            <w:vMerge w:val="continue"/>
            <w:noWrap w:val="0"/>
            <w:vAlign w:val="center"/>
          </w:tcPr>
          <w:p w14:paraId="2818ADB7">
            <w:pPr>
              <w:widowControl/>
              <w:jc w:val="left"/>
              <w:rPr>
                <w:rFonts w:hint="eastAsia" w:ascii="仿宋" w:hAnsi="仿宋" w:eastAsia="仿宋" w:cs="仿宋"/>
                <w:color w:val="auto"/>
                <w:kern w:val="0"/>
                <w:sz w:val="24"/>
              </w:rPr>
            </w:pPr>
          </w:p>
        </w:tc>
        <w:tc>
          <w:tcPr>
            <w:tcW w:w="2475" w:type="dxa"/>
            <w:noWrap w:val="0"/>
            <w:vAlign w:val="center"/>
          </w:tcPr>
          <w:p w14:paraId="2E6ED01A">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方木、圆木</w:t>
            </w:r>
          </w:p>
        </w:tc>
        <w:tc>
          <w:tcPr>
            <w:tcW w:w="1907" w:type="dxa"/>
            <w:noWrap w:val="0"/>
            <w:vAlign w:val="center"/>
          </w:tcPr>
          <w:p w14:paraId="306C6871">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200元/平方米</w:t>
            </w:r>
          </w:p>
        </w:tc>
        <w:tc>
          <w:tcPr>
            <w:tcW w:w="2914" w:type="dxa"/>
            <w:vMerge w:val="continue"/>
            <w:noWrap w:val="0"/>
            <w:vAlign w:val="center"/>
          </w:tcPr>
          <w:p w14:paraId="4649FDEC">
            <w:pPr>
              <w:widowControl/>
              <w:spacing w:line="360" w:lineRule="exact"/>
              <w:jc w:val="left"/>
              <w:rPr>
                <w:rFonts w:hint="eastAsia" w:ascii="仿宋" w:hAnsi="仿宋" w:eastAsia="仿宋" w:cs="仿宋"/>
                <w:color w:val="auto"/>
                <w:kern w:val="0"/>
                <w:sz w:val="24"/>
              </w:rPr>
            </w:pPr>
          </w:p>
        </w:tc>
      </w:tr>
      <w:tr w14:paraId="5BF9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23" w:type="dxa"/>
            <w:noWrap w:val="0"/>
            <w:vAlign w:val="center"/>
          </w:tcPr>
          <w:p w14:paraId="2345C4D1">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非居住暗楼</w:t>
            </w:r>
          </w:p>
        </w:tc>
        <w:tc>
          <w:tcPr>
            <w:tcW w:w="2475" w:type="dxa"/>
            <w:noWrap w:val="0"/>
            <w:vAlign w:val="center"/>
          </w:tcPr>
          <w:p w14:paraId="225C82A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c>
          <w:tcPr>
            <w:tcW w:w="1907" w:type="dxa"/>
            <w:noWrap w:val="0"/>
            <w:vAlign w:val="center"/>
          </w:tcPr>
          <w:p w14:paraId="3D82773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200-400元/个</w:t>
            </w:r>
          </w:p>
        </w:tc>
        <w:tc>
          <w:tcPr>
            <w:tcW w:w="2914" w:type="dxa"/>
            <w:noWrap w:val="0"/>
            <w:vAlign w:val="center"/>
          </w:tcPr>
          <w:p w14:paraId="79863023">
            <w:pPr>
              <w:widowControl/>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r>
      <w:tr w14:paraId="3AF4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23" w:type="dxa"/>
            <w:vMerge w:val="restart"/>
            <w:noWrap w:val="0"/>
            <w:vAlign w:val="center"/>
          </w:tcPr>
          <w:p w14:paraId="55E78337">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无烟灶台</w:t>
            </w:r>
          </w:p>
        </w:tc>
        <w:tc>
          <w:tcPr>
            <w:tcW w:w="2475" w:type="dxa"/>
            <w:noWrap w:val="0"/>
            <w:vAlign w:val="center"/>
          </w:tcPr>
          <w:p w14:paraId="16243628">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自行搭建</w:t>
            </w:r>
          </w:p>
        </w:tc>
        <w:tc>
          <w:tcPr>
            <w:tcW w:w="1907" w:type="dxa"/>
            <w:noWrap w:val="0"/>
            <w:vAlign w:val="center"/>
          </w:tcPr>
          <w:p w14:paraId="04CB01FB">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600元/个</w:t>
            </w:r>
          </w:p>
        </w:tc>
        <w:tc>
          <w:tcPr>
            <w:tcW w:w="2914" w:type="dxa"/>
            <w:noWrap w:val="0"/>
            <w:vAlign w:val="center"/>
          </w:tcPr>
          <w:p w14:paraId="59938BB3">
            <w:pPr>
              <w:widowControl/>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r>
      <w:tr w14:paraId="391E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23" w:type="dxa"/>
            <w:vMerge w:val="continue"/>
            <w:noWrap w:val="0"/>
            <w:vAlign w:val="center"/>
          </w:tcPr>
          <w:p w14:paraId="307F70AF">
            <w:pPr>
              <w:widowControl/>
              <w:jc w:val="left"/>
              <w:rPr>
                <w:rFonts w:hint="eastAsia" w:ascii="仿宋" w:hAnsi="仿宋" w:eastAsia="仿宋" w:cs="仿宋"/>
                <w:color w:val="auto"/>
                <w:kern w:val="0"/>
                <w:sz w:val="24"/>
              </w:rPr>
            </w:pPr>
          </w:p>
        </w:tc>
        <w:tc>
          <w:tcPr>
            <w:tcW w:w="2475" w:type="dxa"/>
            <w:noWrap w:val="0"/>
            <w:vAlign w:val="center"/>
          </w:tcPr>
          <w:p w14:paraId="2BFEAFDE">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整体安装</w:t>
            </w:r>
          </w:p>
        </w:tc>
        <w:tc>
          <w:tcPr>
            <w:tcW w:w="1907" w:type="dxa"/>
            <w:noWrap w:val="0"/>
            <w:vAlign w:val="center"/>
          </w:tcPr>
          <w:p w14:paraId="2CF0F431">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800元/个</w:t>
            </w:r>
          </w:p>
        </w:tc>
        <w:tc>
          <w:tcPr>
            <w:tcW w:w="2914" w:type="dxa"/>
            <w:noWrap w:val="0"/>
            <w:vAlign w:val="center"/>
          </w:tcPr>
          <w:p w14:paraId="4EDFF1D1">
            <w:pPr>
              <w:widowControl/>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r>
      <w:tr w14:paraId="17F4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23" w:type="dxa"/>
            <w:vMerge w:val="restart"/>
            <w:noWrap w:val="0"/>
            <w:vAlign w:val="center"/>
          </w:tcPr>
          <w:p w14:paraId="5C007C04">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防盗网</w:t>
            </w:r>
          </w:p>
        </w:tc>
        <w:tc>
          <w:tcPr>
            <w:tcW w:w="2475" w:type="dxa"/>
            <w:noWrap w:val="0"/>
            <w:vAlign w:val="center"/>
          </w:tcPr>
          <w:p w14:paraId="0D2B7BCC">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钢铁材质</w:t>
            </w:r>
          </w:p>
        </w:tc>
        <w:tc>
          <w:tcPr>
            <w:tcW w:w="1907" w:type="dxa"/>
            <w:noWrap w:val="0"/>
            <w:vAlign w:val="center"/>
          </w:tcPr>
          <w:p w14:paraId="7DF49F14">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100元/平方米</w:t>
            </w:r>
          </w:p>
        </w:tc>
        <w:tc>
          <w:tcPr>
            <w:tcW w:w="2914" w:type="dxa"/>
            <w:vMerge w:val="restart"/>
            <w:noWrap w:val="0"/>
            <w:vAlign w:val="center"/>
          </w:tcPr>
          <w:p w14:paraId="303FF92C">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按展开面积计算，面积由项目部确定，绘在房屋征收验收单上，项目部盖章。</w:t>
            </w:r>
          </w:p>
        </w:tc>
      </w:tr>
      <w:tr w14:paraId="6592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723" w:type="dxa"/>
            <w:vMerge w:val="continue"/>
            <w:noWrap w:val="0"/>
            <w:vAlign w:val="center"/>
          </w:tcPr>
          <w:p w14:paraId="20888381">
            <w:pPr>
              <w:widowControl/>
              <w:jc w:val="left"/>
              <w:rPr>
                <w:rFonts w:hint="eastAsia" w:ascii="仿宋" w:hAnsi="仿宋" w:eastAsia="仿宋" w:cs="仿宋"/>
                <w:color w:val="auto"/>
                <w:kern w:val="0"/>
                <w:sz w:val="24"/>
                <w:u w:val="single"/>
              </w:rPr>
            </w:pPr>
          </w:p>
        </w:tc>
        <w:tc>
          <w:tcPr>
            <w:tcW w:w="2475" w:type="dxa"/>
            <w:noWrap w:val="0"/>
            <w:vAlign w:val="center"/>
          </w:tcPr>
          <w:p w14:paraId="7E7D9732">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不锈钢材质</w:t>
            </w:r>
          </w:p>
        </w:tc>
        <w:tc>
          <w:tcPr>
            <w:tcW w:w="1907" w:type="dxa"/>
            <w:noWrap w:val="0"/>
            <w:vAlign w:val="center"/>
          </w:tcPr>
          <w:p w14:paraId="4B798A28">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180元/平方米</w:t>
            </w:r>
          </w:p>
        </w:tc>
        <w:tc>
          <w:tcPr>
            <w:tcW w:w="2914" w:type="dxa"/>
            <w:vMerge w:val="continue"/>
            <w:noWrap w:val="0"/>
            <w:vAlign w:val="center"/>
          </w:tcPr>
          <w:p w14:paraId="63BCC894">
            <w:pPr>
              <w:widowControl/>
              <w:spacing w:line="360" w:lineRule="exact"/>
              <w:jc w:val="center"/>
              <w:rPr>
                <w:rFonts w:hint="eastAsia" w:ascii="仿宋" w:hAnsi="仿宋" w:eastAsia="仿宋" w:cs="仿宋"/>
                <w:color w:val="auto"/>
                <w:kern w:val="0"/>
                <w:sz w:val="24"/>
                <w:u w:val="single"/>
              </w:rPr>
            </w:pPr>
          </w:p>
        </w:tc>
      </w:tr>
      <w:tr w14:paraId="3886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23" w:type="dxa"/>
            <w:noWrap w:val="0"/>
            <w:vAlign w:val="center"/>
          </w:tcPr>
          <w:p w14:paraId="414D140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吊脚楼</w:t>
            </w:r>
          </w:p>
        </w:tc>
        <w:tc>
          <w:tcPr>
            <w:tcW w:w="2475" w:type="dxa"/>
            <w:noWrap w:val="0"/>
            <w:vAlign w:val="center"/>
          </w:tcPr>
          <w:p w14:paraId="7CBC2779">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c>
          <w:tcPr>
            <w:tcW w:w="1907" w:type="dxa"/>
            <w:noWrap w:val="0"/>
            <w:vAlign w:val="center"/>
          </w:tcPr>
          <w:p w14:paraId="20654D95">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1200元/个</w:t>
            </w:r>
          </w:p>
        </w:tc>
        <w:tc>
          <w:tcPr>
            <w:tcW w:w="2914" w:type="dxa"/>
            <w:noWrap w:val="0"/>
            <w:vAlign w:val="center"/>
          </w:tcPr>
          <w:p w14:paraId="479B7CCA">
            <w:pPr>
              <w:widowControl/>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r>
      <w:tr w14:paraId="773D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23" w:type="dxa"/>
            <w:noWrap w:val="0"/>
            <w:vAlign w:val="center"/>
          </w:tcPr>
          <w:p w14:paraId="7D78685B">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外挑</w:t>
            </w:r>
          </w:p>
        </w:tc>
        <w:tc>
          <w:tcPr>
            <w:tcW w:w="2475" w:type="dxa"/>
            <w:noWrap w:val="0"/>
            <w:vAlign w:val="center"/>
          </w:tcPr>
          <w:p w14:paraId="1250C341">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c>
          <w:tcPr>
            <w:tcW w:w="1907" w:type="dxa"/>
            <w:noWrap w:val="0"/>
            <w:vAlign w:val="center"/>
          </w:tcPr>
          <w:p w14:paraId="66BF1BEE">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800元/个</w:t>
            </w:r>
          </w:p>
        </w:tc>
        <w:tc>
          <w:tcPr>
            <w:tcW w:w="2914" w:type="dxa"/>
            <w:noWrap w:val="0"/>
            <w:vAlign w:val="center"/>
          </w:tcPr>
          <w:p w14:paraId="6642DC43">
            <w:pPr>
              <w:widowControl/>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w:t>
            </w:r>
          </w:p>
        </w:tc>
      </w:tr>
      <w:tr w14:paraId="319B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23" w:type="dxa"/>
            <w:vMerge w:val="restart"/>
            <w:noWrap w:val="0"/>
            <w:vAlign w:val="center"/>
          </w:tcPr>
          <w:p w14:paraId="1FF57AC1">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棚子</w:t>
            </w:r>
          </w:p>
        </w:tc>
        <w:tc>
          <w:tcPr>
            <w:tcW w:w="2475" w:type="dxa"/>
            <w:noWrap w:val="0"/>
            <w:vAlign w:val="center"/>
          </w:tcPr>
          <w:p w14:paraId="51B1DE0A">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钢材结构</w:t>
            </w:r>
          </w:p>
        </w:tc>
        <w:tc>
          <w:tcPr>
            <w:tcW w:w="1907" w:type="dxa"/>
            <w:noWrap w:val="0"/>
            <w:vAlign w:val="center"/>
          </w:tcPr>
          <w:p w14:paraId="734C0116">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120元/平方米</w:t>
            </w:r>
          </w:p>
        </w:tc>
        <w:tc>
          <w:tcPr>
            <w:tcW w:w="2914" w:type="dxa"/>
            <w:vMerge w:val="restart"/>
            <w:noWrap w:val="0"/>
            <w:vAlign w:val="center"/>
          </w:tcPr>
          <w:p w14:paraId="4AD20A6F">
            <w:pPr>
              <w:widowControl/>
              <w:spacing w:line="36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面积由具有相应资质的测绘单位测绘确定。</w:t>
            </w:r>
          </w:p>
        </w:tc>
      </w:tr>
      <w:tr w14:paraId="4C79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23" w:type="dxa"/>
            <w:vMerge w:val="continue"/>
            <w:noWrap w:val="0"/>
            <w:vAlign w:val="center"/>
          </w:tcPr>
          <w:p w14:paraId="08F7A8E7">
            <w:pPr>
              <w:widowControl/>
              <w:jc w:val="left"/>
              <w:rPr>
                <w:rFonts w:hint="eastAsia" w:ascii="仿宋" w:hAnsi="仿宋" w:eastAsia="仿宋" w:cs="仿宋"/>
                <w:color w:val="auto"/>
                <w:kern w:val="0"/>
                <w:sz w:val="24"/>
              </w:rPr>
            </w:pPr>
          </w:p>
        </w:tc>
        <w:tc>
          <w:tcPr>
            <w:tcW w:w="2475" w:type="dxa"/>
            <w:noWrap w:val="0"/>
            <w:vAlign w:val="center"/>
          </w:tcPr>
          <w:p w14:paraId="0EBC501A">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其他结构</w:t>
            </w:r>
          </w:p>
        </w:tc>
        <w:tc>
          <w:tcPr>
            <w:tcW w:w="1907" w:type="dxa"/>
            <w:noWrap w:val="0"/>
            <w:vAlign w:val="center"/>
          </w:tcPr>
          <w:p w14:paraId="26241F44">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80元/平方米</w:t>
            </w:r>
          </w:p>
        </w:tc>
        <w:tc>
          <w:tcPr>
            <w:tcW w:w="2914" w:type="dxa"/>
            <w:vMerge w:val="continue"/>
            <w:noWrap w:val="0"/>
            <w:vAlign w:val="center"/>
          </w:tcPr>
          <w:p w14:paraId="331EE223">
            <w:pPr>
              <w:widowControl/>
              <w:jc w:val="left"/>
              <w:rPr>
                <w:rFonts w:hint="eastAsia" w:ascii="仿宋" w:hAnsi="仿宋" w:eastAsia="仿宋" w:cs="仿宋"/>
                <w:color w:val="auto"/>
                <w:kern w:val="0"/>
                <w:sz w:val="24"/>
              </w:rPr>
            </w:pPr>
          </w:p>
        </w:tc>
      </w:tr>
    </w:tbl>
    <w:p w14:paraId="03BB4C25">
      <w:pPr>
        <w:spacing w:line="120" w:lineRule="exact"/>
        <w:ind w:firstLine="640" w:firstLineChars="200"/>
        <w:rPr>
          <w:rFonts w:hint="eastAsia" w:ascii="仿宋" w:hAnsi="仿宋" w:eastAsia="仿宋" w:cs="仿宋"/>
          <w:color w:val="auto"/>
          <w:sz w:val="32"/>
        </w:rPr>
      </w:pPr>
    </w:p>
    <w:p w14:paraId="35B3C2B9">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被征收人、公有房屋承租人不同意按照上述标准补偿的，由该项目选定的房地产价格评估机构评估确定。</w:t>
      </w:r>
    </w:p>
    <w:p w14:paraId="1043F465">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b w:val="0"/>
          <w:bCs w:val="0"/>
          <w:color w:val="auto"/>
          <w:sz w:val="32"/>
          <w:lang w:eastAsia="zh-CN"/>
        </w:rPr>
      </w:pPr>
      <w:r>
        <w:rPr>
          <w:rFonts w:hint="eastAsia" w:ascii="仿宋" w:hAnsi="仿宋" w:eastAsia="仿宋" w:cs="仿宋"/>
          <w:b w:val="0"/>
          <w:bCs w:val="0"/>
          <w:color w:val="auto"/>
          <w:sz w:val="32"/>
          <w:lang w:eastAsia="zh-CN"/>
        </w:rPr>
        <w:t>（三）附属物的补偿</w:t>
      </w:r>
    </w:p>
    <w:p w14:paraId="56C40BF8">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附属物的征收补偿由选定的房地产价格评估机构评估确定。</w:t>
      </w:r>
    </w:p>
    <w:p w14:paraId="13CBD9B7">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b w:val="0"/>
          <w:bCs w:val="0"/>
          <w:color w:val="auto"/>
          <w:sz w:val="32"/>
          <w:lang w:eastAsia="zh-CN"/>
        </w:rPr>
      </w:pPr>
      <w:r>
        <w:rPr>
          <w:rFonts w:hint="eastAsia" w:ascii="仿宋" w:hAnsi="仿宋" w:eastAsia="仿宋" w:cs="仿宋"/>
          <w:b w:val="0"/>
          <w:bCs w:val="0"/>
          <w:color w:val="auto"/>
          <w:sz w:val="32"/>
          <w:lang w:eastAsia="zh-CN"/>
        </w:rPr>
        <w:t>（四）附属设施的补偿</w:t>
      </w:r>
    </w:p>
    <w:p w14:paraId="5A730CE4">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1</w:t>
      </w:r>
      <w:r>
        <w:rPr>
          <w:rFonts w:hint="eastAsia" w:ascii="仿宋" w:hAnsi="仿宋" w:eastAsia="仿宋" w:cs="仿宋"/>
          <w:color w:val="auto"/>
          <w:sz w:val="32"/>
          <w:lang w:eastAsia="zh-CN"/>
        </w:rPr>
        <w:t>.</w:t>
      </w:r>
      <w:r>
        <w:rPr>
          <w:rFonts w:hint="eastAsia" w:ascii="仿宋" w:hAnsi="仿宋" w:eastAsia="仿宋" w:cs="仿宋"/>
          <w:color w:val="auto"/>
          <w:sz w:val="32"/>
        </w:rPr>
        <w:t>电话移机费：每部216元；</w:t>
      </w:r>
    </w:p>
    <w:p w14:paraId="2FCBA983">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2</w:t>
      </w:r>
      <w:r>
        <w:rPr>
          <w:rFonts w:hint="eastAsia" w:ascii="仿宋" w:hAnsi="仿宋" w:eastAsia="仿宋" w:cs="仿宋"/>
          <w:color w:val="auto"/>
          <w:sz w:val="32"/>
          <w:lang w:eastAsia="zh-CN"/>
        </w:rPr>
        <w:t>.</w:t>
      </w:r>
      <w:r>
        <w:rPr>
          <w:rFonts w:hint="eastAsia" w:ascii="仿宋" w:hAnsi="仿宋" w:eastAsia="仿宋" w:cs="仿宋"/>
          <w:color w:val="auto"/>
          <w:sz w:val="32"/>
        </w:rPr>
        <w:t>有线电视复装费：每户380元；</w:t>
      </w:r>
    </w:p>
    <w:p w14:paraId="127E4108">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3</w:t>
      </w:r>
      <w:r>
        <w:rPr>
          <w:rFonts w:hint="eastAsia" w:ascii="仿宋" w:hAnsi="仿宋" w:eastAsia="仿宋" w:cs="仿宋"/>
          <w:color w:val="auto"/>
          <w:sz w:val="32"/>
          <w:lang w:eastAsia="zh-CN"/>
        </w:rPr>
        <w:t>.</w:t>
      </w:r>
      <w:r>
        <w:rPr>
          <w:rFonts w:hint="eastAsia" w:ascii="仿宋" w:hAnsi="仿宋" w:eastAsia="仿宋" w:cs="仿宋"/>
          <w:color w:val="auto"/>
          <w:sz w:val="32"/>
        </w:rPr>
        <w:t>宽带上网：凭报装单据补偿每户308元；</w:t>
      </w:r>
    </w:p>
    <w:p w14:paraId="0303F639">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4</w:t>
      </w:r>
      <w:r>
        <w:rPr>
          <w:rFonts w:hint="eastAsia" w:ascii="仿宋" w:hAnsi="仿宋" w:eastAsia="仿宋" w:cs="仿宋"/>
          <w:color w:val="auto"/>
          <w:sz w:val="32"/>
          <w:lang w:eastAsia="zh-CN"/>
        </w:rPr>
        <w:t>.</w:t>
      </w:r>
      <w:r>
        <w:rPr>
          <w:rFonts w:hint="eastAsia" w:ascii="仿宋" w:hAnsi="仿宋" w:eastAsia="仿宋" w:cs="仿宋"/>
          <w:color w:val="auto"/>
          <w:sz w:val="32"/>
        </w:rPr>
        <w:t>电热水器、燃气热水器移机费：每台200元；</w:t>
      </w:r>
    </w:p>
    <w:p w14:paraId="088D11B5">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5</w:t>
      </w:r>
      <w:r>
        <w:rPr>
          <w:rFonts w:hint="eastAsia" w:ascii="仿宋" w:hAnsi="仿宋" w:eastAsia="仿宋" w:cs="仿宋"/>
          <w:color w:val="auto"/>
          <w:sz w:val="32"/>
          <w:lang w:eastAsia="zh-CN"/>
        </w:rPr>
        <w:t>.</w:t>
      </w:r>
      <w:r>
        <w:rPr>
          <w:rFonts w:hint="eastAsia" w:ascii="仿宋" w:hAnsi="仿宋" w:eastAsia="仿宋" w:cs="仿宋"/>
          <w:color w:val="auto"/>
          <w:sz w:val="32"/>
        </w:rPr>
        <w:t>水表迁移费：独表每块200元，分表每块80元；</w:t>
      </w:r>
    </w:p>
    <w:p w14:paraId="6E1E09F0">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6</w:t>
      </w:r>
      <w:r>
        <w:rPr>
          <w:rFonts w:hint="eastAsia" w:ascii="仿宋" w:hAnsi="仿宋" w:eastAsia="仿宋" w:cs="仿宋"/>
          <w:color w:val="auto"/>
          <w:sz w:val="32"/>
          <w:lang w:eastAsia="zh-CN"/>
        </w:rPr>
        <w:t>.</w:t>
      </w:r>
      <w:r>
        <w:rPr>
          <w:rFonts w:hint="eastAsia" w:ascii="仿宋" w:hAnsi="仿宋" w:eastAsia="仿宋" w:cs="仿宋"/>
          <w:color w:val="auto"/>
          <w:sz w:val="32"/>
        </w:rPr>
        <w:t>电表迁移费：独表每块480元，分时电表每块780元，分表每块100元；</w:t>
      </w:r>
    </w:p>
    <w:p w14:paraId="74637303">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7</w:t>
      </w:r>
      <w:r>
        <w:rPr>
          <w:rFonts w:hint="eastAsia" w:ascii="仿宋" w:hAnsi="仿宋" w:eastAsia="仿宋" w:cs="仿宋"/>
          <w:color w:val="auto"/>
          <w:sz w:val="32"/>
          <w:lang w:eastAsia="zh-CN"/>
        </w:rPr>
        <w:t>.</w:t>
      </w:r>
      <w:r>
        <w:rPr>
          <w:rFonts w:hint="eastAsia" w:ascii="仿宋" w:hAnsi="仿宋" w:eastAsia="仿宋" w:cs="仿宋"/>
          <w:color w:val="auto"/>
          <w:sz w:val="32"/>
        </w:rPr>
        <w:t>空调移机费：窗机每台200元、分体机每台300元、柜机每台500元；</w:t>
      </w:r>
    </w:p>
    <w:p w14:paraId="0CB3472E">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以上7项按打包价3000元进行补偿，超过3000元打包价的按票据据实结算。</w:t>
      </w:r>
    </w:p>
    <w:p w14:paraId="186F5747">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8</w:t>
      </w:r>
      <w:r>
        <w:rPr>
          <w:rFonts w:hint="eastAsia" w:ascii="仿宋" w:hAnsi="仿宋" w:eastAsia="仿宋" w:cs="仿宋"/>
          <w:color w:val="auto"/>
          <w:sz w:val="32"/>
          <w:lang w:eastAsia="zh-CN"/>
        </w:rPr>
        <w:t>.</w:t>
      </w:r>
      <w:r>
        <w:rPr>
          <w:rFonts w:hint="eastAsia" w:ascii="仿宋" w:hAnsi="仿宋" w:eastAsia="仿宋" w:cs="仿宋"/>
          <w:color w:val="auto"/>
          <w:sz w:val="32"/>
        </w:rPr>
        <w:t>太阳能热水器、地暖、水暖设施由评估公司确定补偿价值；</w:t>
      </w:r>
    </w:p>
    <w:p w14:paraId="295908B3">
      <w:pPr>
        <w:keepNext w:val="0"/>
        <w:keepLines w:val="0"/>
        <w:pageBreakBefore w:val="0"/>
        <w:widowControl w:val="0"/>
        <w:kinsoku/>
        <w:wordWrap/>
        <w:overflowPunct/>
        <w:topLinePunct w:val="0"/>
        <w:autoSpaceDE/>
        <w:autoSpaceDN/>
        <w:bidi w:val="0"/>
        <w:adjustRightInd/>
        <w:snapToGrid/>
        <w:spacing w:line="660" w:lineRule="atLeast"/>
        <w:ind w:firstLine="960" w:firstLineChars="300"/>
        <w:textAlignment w:val="auto"/>
        <w:rPr>
          <w:rFonts w:hint="eastAsia" w:ascii="仿宋" w:hAnsi="仿宋" w:eastAsia="仿宋" w:cs="仿宋"/>
          <w:color w:val="auto"/>
          <w:sz w:val="32"/>
        </w:rPr>
      </w:pPr>
      <w:r>
        <w:rPr>
          <w:rFonts w:hint="eastAsia" w:ascii="仿宋" w:hAnsi="仿宋" w:eastAsia="仿宋" w:cs="仿宋"/>
          <w:color w:val="auto"/>
          <w:sz w:val="32"/>
        </w:rPr>
        <w:t>9</w:t>
      </w:r>
      <w:r>
        <w:rPr>
          <w:rFonts w:hint="eastAsia" w:ascii="仿宋" w:hAnsi="仿宋" w:eastAsia="仿宋" w:cs="仿宋"/>
          <w:color w:val="auto"/>
          <w:sz w:val="32"/>
          <w:lang w:eastAsia="zh-CN"/>
        </w:rPr>
        <w:t>.</w:t>
      </w:r>
      <w:r>
        <w:rPr>
          <w:rFonts w:hint="eastAsia" w:ascii="仿宋" w:hAnsi="仿宋" w:eastAsia="仿宋" w:cs="仿宋"/>
          <w:color w:val="auto"/>
          <w:sz w:val="32"/>
        </w:rPr>
        <w:t>管道煤气迁移费：每户2400元。</w:t>
      </w:r>
    </w:p>
    <w:p w14:paraId="25FFE538">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六、奖励</w:t>
      </w:r>
    </w:p>
    <w:p w14:paraId="01591DED">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（一）个人住宅房屋签约奖励</w:t>
      </w:r>
    </w:p>
    <w:p w14:paraId="1D626681">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凡在签约期限内，选择货币补偿方式签约的被征收人、公有房屋承租人，按照被征收房屋价值1%的标准给予奖励。</w:t>
      </w:r>
    </w:p>
    <w:p w14:paraId="74718D55">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（二）非住宅房屋签约奖励</w:t>
      </w:r>
    </w:p>
    <w:p w14:paraId="63E91E0E">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在签约期限内签订补偿协议的，给予签约奖励，标准为：</w:t>
      </w:r>
    </w:p>
    <w:p w14:paraId="435AE19F">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被征收房屋建筑面积（包括未经登记建筑）小于1000平方米的,奖励人民币10000元/户；被征收房屋建筑面积大于等于1000平方米小于2000平方米的，奖励人民币20000元/户；被征收房屋建筑面积大于等于2000平方米小于5000平方米的，奖励人民币40000元/户；被</w:t>
      </w:r>
      <w:r>
        <w:rPr>
          <w:rFonts w:hint="eastAsia" w:ascii="仿宋" w:hAnsi="仿宋" w:eastAsia="仿宋" w:cs="仿宋"/>
          <w:color w:val="auto"/>
          <w:spacing w:val="-6"/>
          <w:sz w:val="32"/>
        </w:rPr>
        <w:t>征收房屋建筑面积大于等于5000平方米的,奖励人民币80000元/户</w:t>
      </w:r>
      <w:r>
        <w:rPr>
          <w:rFonts w:hint="eastAsia" w:ascii="仿宋" w:hAnsi="仿宋" w:eastAsia="仿宋" w:cs="仿宋"/>
          <w:color w:val="auto"/>
          <w:sz w:val="32"/>
        </w:rPr>
        <w:t>。</w:t>
      </w:r>
    </w:p>
    <w:p w14:paraId="1606D97B">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七、其他事项</w:t>
      </w:r>
    </w:p>
    <w:p w14:paraId="02F40CF1">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（一）本方案未尽事宜按照国家及武汉市有关政策执行</w:t>
      </w:r>
    </w:p>
    <w:p w14:paraId="5485E034">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（二）本方案由武汉市青山区</w:t>
      </w:r>
      <w:r>
        <w:rPr>
          <w:rFonts w:hint="eastAsia" w:ascii="仿宋" w:hAnsi="仿宋" w:eastAsia="仿宋" w:cs="仿宋"/>
          <w:color w:val="auto"/>
          <w:sz w:val="32"/>
          <w:lang w:eastAsia="zh-CN"/>
        </w:rPr>
        <w:t>住房和城市</w:t>
      </w:r>
      <w:r>
        <w:rPr>
          <w:rFonts w:hint="eastAsia" w:ascii="仿宋" w:hAnsi="仿宋" w:eastAsia="仿宋" w:cs="仿宋"/>
          <w:color w:val="auto"/>
          <w:sz w:val="32"/>
        </w:rPr>
        <w:t>更新局负责解释</w:t>
      </w:r>
    </w:p>
    <w:p w14:paraId="7F5DB025">
      <w:pPr>
        <w:keepNext w:val="0"/>
        <w:keepLines w:val="0"/>
        <w:pageBreakBefore w:val="0"/>
        <w:widowControl w:val="0"/>
        <w:kinsoku/>
        <w:wordWrap/>
        <w:overflowPunct/>
        <w:topLinePunct w:val="0"/>
        <w:autoSpaceDE/>
        <w:autoSpaceDN/>
        <w:bidi w:val="0"/>
        <w:adjustRightInd/>
        <w:snapToGrid/>
        <w:spacing w:line="660" w:lineRule="atLeast"/>
        <w:ind w:firstLine="640" w:firstLineChars="200"/>
        <w:textAlignment w:val="auto"/>
        <w:rPr>
          <w:rFonts w:hint="eastAsia" w:ascii="仿宋" w:hAnsi="仿宋" w:eastAsia="仿宋" w:cs="仿宋"/>
          <w:color w:val="auto"/>
          <w:sz w:val="32"/>
        </w:rPr>
      </w:pPr>
    </w:p>
    <w:p w14:paraId="1492982B">
      <w:pPr>
        <w:keepNext w:val="0"/>
        <w:keepLines w:val="0"/>
        <w:pageBreakBefore w:val="0"/>
        <w:widowControl w:val="0"/>
        <w:kinsoku/>
        <w:wordWrap/>
        <w:overflowPunct/>
        <w:topLinePunct w:val="0"/>
        <w:autoSpaceDE/>
        <w:autoSpaceDN/>
        <w:bidi w:val="0"/>
        <w:adjustRightInd/>
        <w:snapToGrid/>
        <w:spacing w:line="660" w:lineRule="atLeast"/>
        <w:ind w:firstLine="4160" w:firstLineChars="1300"/>
        <w:textAlignment w:val="auto"/>
        <w:rPr>
          <w:rFonts w:hint="eastAsia" w:ascii="仿宋" w:hAnsi="仿宋" w:eastAsia="仿宋" w:cs="仿宋"/>
          <w:sz w:val="32"/>
          <w:szCs w:val="32"/>
          <w:lang w:val="en-US" w:eastAsia="zh-CN"/>
        </w:rPr>
      </w:pPr>
    </w:p>
    <w:p w14:paraId="69DE7779">
      <w:pPr>
        <w:keepNext w:val="0"/>
        <w:keepLines w:val="0"/>
        <w:pageBreakBefore w:val="0"/>
        <w:widowControl w:val="0"/>
        <w:kinsoku/>
        <w:wordWrap/>
        <w:overflowPunct/>
        <w:topLinePunct w:val="0"/>
        <w:autoSpaceDE/>
        <w:autoSpaceDN/>
        <w:bidi w:val="0"/>
        <w:adjustRightInd/>
        <w:snapToGrid/>
        <w:spacing w:line="660" w:lineRule="atLeast"/>
        <w:ind w:firstLine="4160" w:firstLineChars="1300"/>
        <w:textAlignment w:val="auto"/>
        <w:rPr>
          <w:rFonts w:hint="eastAsia" w:ascii="仿宋" w:hAnsi="仿宋" w:eastAsia="仿宋" w:cs="仿宋"/>
          <w:sz w:val="32"/>
          <w:szCs w:val="32"/>
          <w:lang w:val="en-US" w:eastAsia="zh-CN"/>
        </w:rPr>
      </w:pPr>
    </w:p>
    <w:p w14:paraId="18EFB127">
      <w:pPr>
        <w:keepNext w:val="0"/>
        <w:keepLines w:val="0"/>
        <w:pageBreakBefore w:val="0"/>
        <w:widowControl w:val="0"/>
        <w:kinsoku/>
        <w:wordWrap/>
        <w:overflowPunct/>
        <w:topLinePunct w:val="0"/>
        <w:autoSpaceDE/>
        <w:autoSpaceDN/>
        <w:bidi w:val="0"/>
        <w:adjustRightInd/>
        <w:snapToGrid/>
        <w:spacing w:line="660" w:lineRule="atLeast"/>
        <w:ind w:firstLine="4160" w:firstLineChars="1300"/>
        <w:textAlignment w:val="auto"/>
        <w:rPr>
          <w:rFonts w:hint="eastAsia" w:ascii="仿宋" w:hAnsi="仿宋" w:eastAsia="仿宋" w:cs="仿宋"/>
          <w:sz w:val="32"/>
          <w:szCs w:val="32"/>
          <w:lang w:val="en-US" w:eastAsia="zh-CN"/>
        </w:rPr>
      </w:pPr>
    </w:p>
    <w:p w14:paraId="119B4F87">
      <w:pPr>
        <w:keepNext w:val="0"/>
        <w:keepLines w:val="0"/>
        <w:pageBreakBefore w:val="0"/>
        <w:widowControl w:val="0"/>
        <w:kinsoku/>
        <w:wordWrap/>
        <w:overflowPunct/>
        <w:topLinePunct w:val="0"/>
        <w:autoSpaceDE/>
        <w:autoSpaceDN/>
        <w:bidi w:val="0"/>
        <w:adjustRightInd/>
        <w:snapToGrid/>
        <w:spacing w:line="499" w:lineRule="exact"/>
        <w:ind w:firstLine="640" w:firstLineChars="200"/>
        <w:textAlignment w:val="auto"/>
        <w:rPr>
          <w:rFonts w:hint="eastAsia" w:ascii="仿宋" w:hAnsi="仿宋" w:eastAsia="仿宋" w:cs="仿宋"/>
          <w:color w:val="auto"/>
          <w:sz w:val="32"/>
        </w:rPr>
      </w:pPr>
    </w:p>
    <w:sectPr>
      <w:headerReference r:id="rId3" w:type="default"/>
      <w:footerReference r:id="rId4" w:type="default"/>
      <w:footerReference r:id="rId5" w:type="even"/>
      <w:pgSz w:w="11906" w:h="16838"/>
      <w:pgMar w:top="1814" w:right="1474" w:bottom="1587"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5F0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5B81AF">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545B81AF">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4AFF">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0DE268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422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2RmODBlYWU5ODA5ODZmZDUzMWVhNzMwZjQwMGYifQ=="/>
  </w:docVars>
  <w:rsids>
    <w:rsidRoot w:val="00172A27"/>
    <w:rsid w:val="000065F7"/>
    <w:rsid w:val="00010AD3"/>
    <w:rsid w:val="00014506"/>
    <w:rsid w:val="00021DC2"/>
    <w:rsid w:val="00022D40"/>
    <w:rsid w:val="000247B9"/>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572C"/>
    <w:rsid w:val="00086228"/>
    <w:rsid w:val="00090F61"/>
    <w:rsid w:val="00092526"/>
    <w:rsid w:val="00094E8E"/>
    <w:rsid w:val="00094FEB"/>
    <w:rsid w:val="000971C8"/>
    <w:rsid w:val="00097BF1"/>
    <w:rsid w:val="00097D2F"/>
    <w:rsid w:val="000A1DFE"/>
    <w:rsid w:val="000A2DF3"/>
    <w:rsid w:val="000A680E"/>
    <w:rsid w:val="000B52C4"/>
    <w:rsid w:val="000C16B6"/>
    <w:rsid w:val="000C26A0"/>
    <w:rsid w:val="000C6C8D"/>
    <w:rsid w:val="000C7B71"/>
    <w:rsid w:val="000D6E63"/>
    <w:rsid w:val="000E4C11"/>
    <w:rsid w:val="000E5014"/>
    <w:rsid w:val="000E654A"/>
    <w:rsid w:val="000F2612"/>
    <w:rsid w:val="000F5951"/>
    <w:rsid w:val="000F6883"/>
    <w:rsid w:val="000F7587"/>
    <w:rsid w:val="00100D3F"/>
    <w:rsid w:val="00105837"/>
    <w:rsid w:val="001058D6"/>
    <w:rsid w:val="00106B95"/>
    <w:rsid w:val="00110161"/>
    <w:rsid w:val="0011343B"/>
    <w:rsid w:val="001215A2"/>
    <w:rsid w:val="00121640"/>
    <w:rsid w:val="00123B38"/>
    <w:rsid w:val="00125FD7"/>
    <w:rsid w:val="0012648B"/>
    <w:rsid w:val="00133763"/>
    <w:rsid w:val="00135BE1"/>
    <w:rsid w:val="00141388"/>
    <w:rsid w:val="00146A7B"/>
    <w:rsid w:val="001560DB"/>
    <w:rsid w:val="0016264A"/>
    <w:rsid w:val="001637D0"/>
    <w:rsid w:val="00164FA7"/>
    <w:rsid w:val="00165050"/>
    <w:rsid w:val="00166118"/>
    <w:rsid w:val="00167BF6"/>
    <w:rsid w:val="00182F82"/>
    <w:rsid w:val="00193AD8"/>
    <w:rsid w:val="00194CC8"/>
    <w:rsid w:val="0019702D"/>
    <w:rsid w:val="001A09A6"/>
    <w:rsid w:val="001A2B46"/>
    <w:rsid w:val="001A3BD1"/>
    <w:rsid w:val="001A3CCC"/>
    <w:rsid w:val="001A6700"/>
    <w:rsid w:val="001B21ED"/>
    <w:rsid w:val="001B4D5B"/>
    <w:rsid w:val="001C0072"/>
    <w:rsid w:val="001C0A82"/>
    <w:rsid w:val="001C1051"/>
    <w:rsid w:val="001C232B"/>
    <w:rsid w:val="001C2369"/>
    <w:rsid w:val="001D3721"/>
    <w:rsid w:val="001D490B"/>
    <w:rsid w:val="001D677E"/>
    <w:rsid w:val="001D769F"/>
    <w:rsid w:val="001F7EA6"/>
    <w:rsid w:val="00206841"/>
    <w:rsid w:val="00207C81"/>
    <w:rsid w:val="0021380F"/>
    <w:rsid w:val="00220D9E"/>
    <w:rsid w:val="00222CF7"/>
    <w:rsid w:val="00224B92"/>
    <w:rsid w:val="0022789E"/>
    <w:rsid w:val="002301F5"/>
    <w:rsid w:val="002328E4"/>
    <w:rsid w:val="00232DD8"/>
    <w:rsid w:val="00232F55"/>
    <w:rsid w:val="00233709"/>
    <w:rsid w:val="00235319"/>
    <w:rsid w:val="00242DA6"/>
    <w:rsid w:val="0024355D"/>
    <w:rsid w:val="002576AC"/>
    <w:rsid w:val="00265323"/>
    <w:rsid w:val="002715A8"/>
    <w:rsid w:val="0027458B"/>
    <w:rsid w:val="00277F30"/>
    <w:rsid w:val="0028056A"/>
    <w:rsid w:val="00282844"/>
    <w:rsid w:val="00282FD2"/>
    <w:rsid w:val="0028354A"/>
    <w:rsid w:val="00285CEB"/>
    <w:rsid w:val="00285CFB"/>
    <w:rsid w:val="00290D60"/>
    <w:rsid w:val="00291300"/>
    <w:rsid w:val="00292BAB"/>
    <w:rsid w:val="00292C32"/>
    <w:rsid w:val="002A1C03"/>
    <w:rsid w:val="002A2F11"/>
    <w:rsid w:val="002A4B40"/>
    <w:rsid w:val="002A6E9D"/>
    <w:rsid w:val="002B257F"/>
    <w:rsid w:val="002B4296"/>
    <w:rsid w:val="002B4EBA"/>
    <w:rsid w:val="002C03F2"/>
    <w:rsid w:val="002C1D18"/>
    <w:rsid w:val="002C33A2"/>
    <w:rsid w:val="002D1D4A"/>
    <w:rsid w:val="002D4A59"/>
    <w:rsid w:val="002D5266"/>
    <w:rsid w:val="002D5ACA"/>
    <w:rsid w:val="002D7018"/>
    <w:rsid w:val="002D7694"/>
    <w:rsid w:val="002E04D5"/>
    <w:rsid w:val="002E4508"/>
    <w:rsid w:val="002E72A3"/>
    <w:rsid w:val="002E7664"/>
    <w:rsid w:val="003007D7"/>
    <w:rsid w:val="0030583A"/>
    <w:rsid w:val="003320FB"/>
    <w:rsid w:val="003325BD"/>
    <w:rsid w:val="0033494B"/>
    <w:rsid w:val="00340FA6"/>
    <w:rsid w:val="00341058"/>
    <w:rsid w:val="0034453A"/>
    <w:rsid w:val="00345BB1"/>
    <w:rsid w:val="00353A65"/>
    <w:rsid w:val="0035606D"/>
    <w:rsid w:val="003648DA"/>
    <w:rsid w:val="00364CA7"/>
    <w:rsid w:val="00365FA8"/>
    <w:rsid w:val="00370A97"/>
    <w:rsid w:val="00384F8D"/>
    <w:rsid w:val="00390726"/>
    <w:rsid w:val="00390E32"/>
    <w:rsid w:val="00394611"/>
    <w:rsid w:val="00395FEB"/>
    <w:rsid w:val="003979AF"/>
    <w:rsid w:val="003B4A99"/>
    <w:rsid w:val="003B7CB6"/>
    <w:rsid w:val="003C787B"/>
    <w:rsid w:val="003D0B14"/>
    <w:rsid w:val="003D4522"/>
    <w:rsid w:val="003D5E07"/>
    <w:rsid w:val="003D6ECB"/>
    <w:rsid w:val="003E25D7"/>
    <w:rsid w:val="003E7B59"/>
    <w:rsid w:val="003E7F5A"/>
    <w:rsid w:val="003F0F9A"/>
    <w:rsid w:val="003F576B"/>
    <w:rsid w:val="00400DA4"/>
    <w:rsid w:val="00404DD3"/>
    <w:rsid w:val="00410F8A"/>
    <w:rsid w:val="0041309C"/>
    <w:rsid w:val="004133BB"/>
    <w:rsid w:val="00416293"/>
    <w:rsid w:val="00423048"/>
    <w:rsid w:val="00424093"/>
    <w:rsid w:val="004274CD"/>
    <w:rsid w:val="004348A4"/>
    <w:rsid w:val="00436D0B"/>
    <w:rsid w:val="00440BD4"/>
    <w:rsid w:val="004440DF"/>
    <w:rsid w:val="00444C8F"/>
    <w:rsid w:val="00445012"/>
    <w:rsid w:val="00445645"/>
    <w:rsid w:val="00452498"/>
    <w:rsid w:val="00452E7F"/>
    <w:rsid w:val="00457284"/>
    <w:rsid w:val="00463D81"/>
    <w:rsid w:val="00464214"/>
    <w:rsid w:val="00466146"/>
    <w:rsid w:val="0047477F"/>
    <w:rsid w:val="00475830"/>
    <w:rsid w:val="0048101A"/>
    <w:rsid w:val="00481D36"/>
    <w:rsid w:val="004820DD"/>
    <w:rsid w:val="00483B87"/>
    <w:rsid w:val="00484FF7"/>
    <w:rsid w:val="00487AA9"/>
    <w:rsid w:val="004907B4"/>
    <w:rsid w:val="0049560C"/>
    <w:rsid w:val="004A5B1C"/>
    <w:rsid w:val="004B2CC4"/>
    <w:rsid w:val="004B52E9"/>
    <w:rsid w:val="004B5BE4"/>
    <w:rsid w:val="004B6533"/>
    <w:rsid w:val="004B78F8"/>
    <w:rsid w:val="004B7DC9"/>
    <w:rsid w:val="004C7A7B"/>
    <w:rsid w:val="004D2B1E"/>
    <w:rsid w:val="004D2C5F"/>
    <w:rsid w:val="004D5C5E"/>
    <w:rsid w:val="004D65F1"/>
    <w:rsid w:val="004E06A4"/>
    <w:rsid w:val="004E1E6F"/>
    <w:rsid w:val="004E5F8C"/>
    <w:rsid w:val="004E6E8D"/>
    <w:rsid w:val="004F4092"/>
    <w:rsid w:val="0050083C"/>
    <w:rsid w:val="0050207D"/>
    <w:rsid w:val="00513D98"/>
    <w:rsid w:val="0051445D"/>
    <w:rsid w:val="00515696"/>
    <w:rsid w:val="00521FEF"/>
    <w:rsid w:val="00523EB9"/>
    <w:rsid w:val="0052574A"/>
    <w:rsid w:val="00531E59"/>
    <w:rsid w:val="005369BF"/>
    <w:rsid w:val="00540B4F"/>
    <w:rsid w:val="00541FD0"/>
    <w:rsid w:val="00545420"/>
    <w:rsid w:val="00546843"/>
    <w:rsid w:val="00550B83"/>
    <w:rsid w:val="005545F2"/>
    <w:rsid w:val="005561AD"/>
    <w:rsid w:val="0055657F"/>
    <w:rsid w:val="00561132"/>
    <w:rsid w:val="00565036"/>
    <w:rsid w:val="00566510"/>
    <w:rsid w:val="00567CAB"/>
    <w:rsid w:val="00570973"/>
    <w:rsid w:val="00576087"/>
    <w:rsid w:val="00576945"/>
    <w:rsid w:val="00596A20"/>
    <w:rsid w:val="00597D3B"/>
    <w:rsid w:val="005A421A"/>
    <w:rsid w:val="005A4647"/>
    <w:rsid w:val="005A6FEF"/>
    <w:rsid w:val="005A7560"/>
    <w:rsid w:val="005B0DBE"/>
    <w:rsid w:val="005B1670"/>
    <w:rsid w:val="005B70D8"/>
    <w:rsid w:val="005B7BF7"/>
    <w:rsid w:val="005C21CF"/>
    <w:rsid w:val="005C55E0"/>
    <w:rsid w:val="005D2AD5"/>
    <w:rsid w:val="005D4F81"/>
    <w:rsid w:val="005D58A5"/>
    <w:rsid w:val="005E08D3"/>
    <w:rsid w:val="005E102F"/>
    <w:rsid w:val="005E2413"/>
    <w:rsid w:val="005E7275"/>
    <w:rsid w:val="005F041D"/>
    <w:rsid w:val="005F10B7"/>
    <w:rsid w:val="005F5385"/>
    <w:rsid w:val="005F7AC7"/>
    <w:rsid w:val="00600473"/>
    <w:rsid w:val="006032FA"/>
    <w:rsid w:val="0060492F"/>
    <w:rsid w:val="006055B0"/>
    <w:rsid w:val="00606FD8"/>
    <w:rsid w:val="00607AC6"/>
    <w:rsid w:val="00617579"/>
    <w:rsid w:val="00621B45"/>
    <w:rsid w:val="006232D0"/>
    <w:rsid w:val="006233E7"/>
    <w:rsid w:val="006254BB"/>
    <w:rsid w:val="006257FF"/>
    <w:rsid w:val="0063373A"/>
    <w:rsid w:val="006348A4"/>
    <w:rsid w:val="0063763C"/>
    <w:rsid w:val="006403AC"/>
    <w:rsid w:val="006412AA"/>
    <w:rsid w:val="00642491"/>
    <w:rsid w:val="00644924"/>
    <w:rsid w:val="006453AB"/>
    <w:rsid w:val="00646880"/>
    <w:rsid w:val="006533A6"/>
    <w:rsid w:val="00657960"/>
    <w:rsid w:val="00660F82"/>
    <w:rsid w:val="0066429A"/>
    <w:rsid w:val="00665D65"/>
    <w:rsid w:val="00665EA5"/>
    <w:rsid w:val="00681CC9"/>
    <w:rsid w:val="006832FB"/>
    <w:rsid w:val="00690B50"/>
    <w:rsid w:val="006924E8"/>
    <w:rsid w:val="00692A1A"/>
    <w:rsid w:val="00692CC7"/>
    <w:rsid w:val="006970B0"/>
    <w:rsid w:val="006978C0"/>
    <w:rsid w:val="006A1EBF"/>
    <w:rsid w:val="006A312E"/>
    <w:rsid w:val="006A7D08"/>
    <w:rsid w:val="006B0809"/>
    <w:rsid w:val="006B55CB"/>
    <w:rsid w:val="006C0524"/>
    <w:rsid w:val="006C35D9"/>
    <w:rsid w:val="006C4EA7"/>
    <w:rsid w:val="006C5625"/>
    <w:rsid w:val="006C5E7A"/>
    <w:rsid w:val="006D431D"/>
    <w:rsid w:val="006E0FA3"/>
    <w:rsid w:val="006E27D9"/>
    <w:rsid w:val="006F1149"/>
    <w:rsid w:val="006F7D99"/>
    <w:rsid w:val="0071142F"/>
    <w:rsid w:val="0071266E"/>
    <w:rsid w:val="00714E46"/>
    <w:rsid w:val="007159E4"/>
    <w:rsid w:val="00716D8C"/>
    <w:rsid w:val="007212F6"/>
    <w:rsid w:val="007226DE"/>
    <w:rsid w:val="00726B7E"/>
    <w:rsid w:val="00731D99"/>
    <w:rsid w:val="0073253A"/>
    <w:rsid w:val="007349E4"/>
    <w:rsid w:val="00735245"/>
    <w:rsid w:val="00741835"/>
    <w:rsid w:val="00745E0E"/>
    <w:rsid w:val="007515D9"/>
    <w:rsid w:val="00755363"/>
    <w:rsid w:val="007555B6"/>
    <w:rsid w:val="0075601D"/>
    <w:rsid w:val="00761289"/>
    <w:rsid w:val="00761646"/>
    <w:rsid w:val="00762BF0"/>
    <w:rsid w:val="007642C2"/>
    <w:rsid w:val="00767ACF"/>
    <w:rsid w:val="0077110E"/>
    <w:rsid w:val="007723E4"/>
    <w:rsid w:val="00772AE9"/>
    <w:rsid w:val="0077474F"/>
    <w:rsid w:val="00774F4D"/>
    <w:rsid w:val="00780579"/>
    <w:rsid w:val="00780F82"/>
    <w:rsid w:val="007816CE"/>
    <w:rsid w:val="00781CAA"/>
    <w:rsid w:val="00782061"/>
    <w:rsid w:val="00785845"/>
    <w:rsid w:val="00786025"/>
    <w:rsid w:val="00795024"/>
    <w:rsid w:val="00796245"/>
    <w:rsid w:val="007A0E65"/>
    <w:rsid w:val="007A7F1C"/>
    <w:rsid w:val="007B478F"/>
    <w:rsid w:val="007B53B4"/>
    <w:rsid w:val="007C0382"/>
    <w:rsid w:val="007C22D8"/>
    <w:rsid w:val="007D00E8"/>
    <w:rsid w:val="007D358C"/>
    <w:rsid w:val="007D4E88"/>
    <w:rsid w:val="007D68AC"/>
    <w:rsid w:val="007D6BC4"/>
    <w:rsid w:val="007E0EB0"/>
    <w:rsid w:val="007E133B"/>
    <w:rsid w:val="007E478F"/>
    <w:rsid w:val="007F1F17"/>
    <w:rsid w:val="007F4D0D"/>
    <w:rsid w:val="007F53D4"/>
    <w:rsid w:val="007F669B"/>
    <w:rsid w:val="00803F91"/>
    <w:rsid w:val="008050A2"/>
    <w:rsid w:val="008054E9"/>
    <w:rsid w:val="0080731F"/>
    <w:rsid w:val="0081057B"/>
    <w:rsid w:val="00812884"/>
    <w:rsid w:val="008137EA"/>
    <w:rsid w:val="00813A0E"/>
    <w:rsid w:val="008143E5"/>
    <w:rsid w:val="0081548E"/>
    <w:rsid w:val="00817D63"/>
    <w:rsid w:val="00820555"/>
    <w:rsid w:val="00824113"/>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9004D"/>
    <w:rsid w:val="0089320A"/>
    <w:rsid w:val="008935CF"/>
    <w:rsid w:val="00893D6E"/>
    <w:rsid w:val="00897C0A"/>
    <w:rsid w:val="008A1787"/>
    <w:rsid w:val="008A3CC2"/>
    <w:rsid w:val="008A66F3"/>
    <w:rsid w:val="008A7D8F"/>
    <w:rsid w:val="008B11EB"/>
    <w:rsid w:val="008B6818"/>
    <w:rsid w:val="008C1C9D"/>
    <w:rsid w:val="008C249B"/>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78AB"/>
    <w:rsid w:val="00910399"/>
    <w:rsid w:val="00910E82"/>
    <w:rsid w:val="00910E9A"/>
    <w:rsid w:val="00912B11"/>
    <w:rsid w:val="00914CE5"/>
    <w:rsid w:val="00915432"/>
    <w:rsid w:val="009163F2"/>
    <w:rsid w:val="0091724D"/>
    <w:rsid w:val="00924D76"/>
    <w:rsid w:val="0092509E"/>
    <w:rsid w:val="0092587F"/>
    <w:rsid w:val="009273AB"/>
    <w:rsid w:val="00934688"/>
    <w:rsid w:val="00937B7F"/>
    <w:rsid w:val="00944FE8"/>
    <w:rsid w:val="00950F46"/>
    <w:rsid w:val="00953A32"/>
    <w:rsid w:val="00954F07"/>
    <w:rsid w:val="0096169F"/>
    <w:rsid w:val="009619AD"/>
    <w:rsid w:val="00961B79"/>
    <w:rsid w:val="00962BA0"/>
    <w:rsid w:val="009651B5"/>
    <w:rsid w:val="0097428E"/>
    <w:rsid w:val="009752EC"/>
    <w:rsid w:val="009764C7"/>
    <w:rsid w:val="00976D8F"/>
    <w:rsid w:val="009818F5"/>
    <w:rsid w:val="009A66CA"/>
    <w:rsid w:val="009B1019"/>
    <w:rsid w:val="009B3016"/>
    <w:rsid w:val="009C0BF1"/>
    <w:rsid w:val="009C0D6D"/>
    <w:rsid w:val="009C43CD"/>
    <w:rsid w:val="009D0E54"/>
    <w:rsid w:val="009D3497"/>
    <w:rsid w:val="009D363F"/>
    <w:rsid w:val="009E0502"/>
    <w:rsid w:val="009E13F7"/>
    <w:rsid w:val="009E1EB7"/>
    <w:rsid w:val="009E5DF0"/>
    <w:rsid w:val="009E74AB"/>
    <w:rsid w:val="009F1265"/>
    <w:rsid w:val="009F2F71"/>
    <w:rsid w:val="009F6D7F"/>
    <w:rsid w:val="00A0425B"/>
    <w:rsid w:val="00A0505A"/>
    <w:rsid w:val="00A059BA"/>
    <w:rsid w:val="00A06747"/>
    <w:rsid w:val="00A129A2"/>
    <w:rsid w:val="00A158AF"/>
    <w:rsid w:val="00A20C67"/>
    <w:rsid w:val="00A233F3"/>
    <w:rsid w:val="00A2409D"/>
    <w:rsid w:val="00A32D86"/>
    <w:rsid w:val="00A37C8A"/>
    <w:rsid w:val="00A40F4F"/>
    <w:rsid w:val="00A436C7"/>
    <w:rsid w:val="00A639AA"/>
    <w:rsid w:val="00A65289"/>
    <w:rsid w:val="00A66983"/>
    <w:rsid w:val="00A70E4C"/>
    <w:rsid w:val="00A75179"/>
    <w:rsid w:val="00A8325D"/>
    <w:rsid w:val="00A84C30"/>
    <w:rsid w:val="00A84EE8"/>
    <w:rsid w:val="00A86475"/>
    <w:rsid w:val="00A92E1A"/>
    <w:rsid w:val="00A9357D"/>
    <w:rsid w:val="00AA0BE2"/>
    <w:rsid w:val="00AA17BF"/>
    <w:rsid w:val="00AA198C"/>
    <w:rsid w:val="00AA2405"/>
    <w:rsid w:val="00AA2BD3"/>
    <w:rsid w:val="00AA3F34"/>
    <w:rsid w:val="00AA5184"/>
    <w:rsid w:val="00AB1C95"/>
    <w:rsid w:val="00AB2330"/>
    <w:rsid w:val="00AB63CB"/>
    <w:rsid w:val="00AB71D4"/>
    <w:rsid w:val="00AB78C0"/>
    <w:rsid w:val="00AC5C03"/>
    <w:rsid w:val="00AC6521"/>
    <w:rsid w:val="00AD0A22"/>
    <w:rsid w:val="00AD1141"/>
    <w:rsid w:val="00AD53A4"/>
    <w:rsid w:val="00AD5AB9"/>
    <w:rsid w:val="00AE01BA"/>
    <w:rsid w:val="00AE20AC"/>
    <w:rsid w:val="00AE6FD6"/>
    <w:rsid w:val="00AF0EA0"/>
    <w:rsid w:val="00AF37C2"/>
    <w:rsid w:val="00AF3DAA"/>
    <w:rsid w:val="00B00EC2"/>
    <w:rsid w:val="00B01351"/>
    <w:rsid w:val="00B06B1E"/>
    <w:rsid w:val="00B079EC"/>
    <w:rsid w:val="00B14E00"/>
    <w:rsid w:val="00B16E14"/>
    <w:rsid w:val="00B17153"/>
    <w:rsid w:val="00B17A3F"/>
    <w:rsid w:val="00B17BCC"/>
    <w:rsid w:val="00B208F4"/>
    <w:rsid w:val="00B27F99"/>
    <w:rsid w:val="00B33888"/>
    <w:rsid w:val="00B34531"/>
    <w:rsid w:val="00B346F6"/>
    <w:rsid w:val="00B34912"/>
    <w:rsid w:val="00B40868"/>
    <w:rsid w:val="00B42040"/>
    <w:rsid w:val="00B4356A"/>
    <w:rsid w:val="00B457C2"/>
    <w:rsid w:val="00B55C98"/>
    <w:rsid w:val="00B57CC5"/>
    <w:rsid w:val="00B77296"/>
    <w:rsid w:val="00B80F0D"/>
    <w:rsid w:val="00B815C8"/>
    <w:rsid w:val="00B816BA"/>
    <w:rsid w:val="00B83E78"/>
    <w:rsid w:val="00B915C6"/>
    <w:rsid w:val="00BA2C7F"/>
    <w:rsid w:val="00BA4249"/>
    <w:rsid w:val="00BA617F"/>
    <w:rsid w:val="00BA710F"/>
    <w:rsid w:val="00BB0222"/>
    <w:rsid w:val="00BB172A"/>
    <w:rsid w:val="00BB5DEB"/>
    <w:rsid w:val="00BB5EFA"/>
    <w:rsid w:val="00BC284D"/>
    <w:rsid w:val="00BC4F7D"/>
    <w:rsid w:val="00BD1375"/>
    <w:rsid w:val="00BD25FD"/>
    <w:rsid w:val="00BD39AE"/>
    <w:rsid w:val="00BD611C"/>
    <w:rsid w:val="00BD69D8"/>
    <w:rsid w:val="00BE16F0"/>
    <w:rsid w:val="00BE3B8D"/>
    <w:rsid w:val="00BE50BC"/>
    <w:rsid w:val="00BE57D8"/>
    <w:rsid w:val="00BF0915"/>
    <w:rsid w:val="00BF24DF"/>
    <w:rsid w:val="00BF2D86"/>
    <w:rsid w:val="00C023C5"/>
    <w:rsid w:val="00C03D27"/>
    <w:rsid w:val="00C04A2A"/>
    <w:rsid w:val="00C04C0F"/>
    <w:rsid w:val="00C064F2"/>
    <w:rsid w:val="00C06CC8"/>
    <w:rsid w:val="00C12338"/>
    <w:rsid w:val="00C2295A"/>
    <w:rsid w:val="00C26D91"/>
    <w:rsid w:val="00C33A72"/>
    <w:rsid w:val="00C346AB"/>
    <w:rsid w:val="00C34B62"/>
    <w:rsid w:val="00C42B0A"/>
    <w:rsid w:val="00C43A55"/>
    <w:rsid w:val="00C45130"/>
    <w:rsid w:val="00C45553"/>
    <w:rsid w:val="00C46FD7"/>
    <w:rsid w:val="00C5250B"/>
    <w:rsid w:val="00C53010"/>
    <w:rsid w:val="00C54510"/>
    <w:rsid w:val="00C55B9D"/>
    <w:rsid w:val="00C55BBB"/>
    <w:rsid w:val="00C57696"/>
    <w:rsid w:val="00C65175"/>
    <w:rsid w:val="00C674E1"/>
    <w:rsid w:val="00C7545E"/>
    <w:rsid w:val="00C81AF9"/>
    <w:rsid w:val="00C83DA4"/>
    <w:rsid w:val="00C853EA"/>
    <w:rsid w:val="00C877FB"/>
    <w:rsid w:val="00CA26F0"/>
    <w:rsid w:val="00CA5838"/>
    <w:rsid w:val="00CB0F96"/>
    <w:rsid w:val="00CB1783"/>
    <w:rsid w:val="00CB192F"/>
    <w:rsid w:val="00CB42BC"/>
    <w:rsid w:val="00CB5434"/>
    <w:rsid w:val="00CB5FE9"/>
    <w:rsid w:val="00CC038A"/>
    <w:rsid w:val="00CC0AD8"/>
    <w:rsid w:val="00CC0AF2"/>
    <w:rsid w:val="00CC7849"/>
    <w:rsid w:val="00CC7AEE"/>
    <w:rsid w:val="00CD14FA"/>
    <w:rsid w:val="00CD1502"/>
    <w:rsid w:val="00CD41C8"/>
    <w:rsid w:val="00CD5BB4"/>
    <w:rsid w:val="00CD7A7D"/>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5FE8"/>
    <w:rsid w:val="00D31F40"/>
    <w:rsid w:val="00D3220A"/>
    <w:rsid w:val="00D33A5D"/>
    <w:rsid w:val="00D36FFC"/>
    <w:rsid w:val="00D443CB"/>
    <w:rsid w:val="00D450FA"/>
    <w:rsid w:val="00D573BF"/>
    <w:rsid w:val="00D629F5"/>
    <w:rsid w:val="00D65106"/>
    <w:rsid w:val="00D655BE"/>
    <w:rsid w:val="00D708D4"/>
    <w:rsid w:val="00D73059"/>
    <w:rsid w:val="00D73450"/>
    <w:rsid w:val="00D90F27"/>
    <w:rsid w:val="00D916D3"/>
    <w:rsid w:val="00D93710"/>
    <w:rsid w:val="00D93990"/>
    <w:rsid w:val="00D95BAF"/>
    <w:rsid w:val="00DA0E89"/>
    <w:rsid w:val="00DA77D8"/>
    <w:rsid w:val="00DB01A0"/>
    <w:rsid w:val="00DC6959"/>
    <w:rsid w:val="00DC7BA5"/>
    <w:rsid w:val="00DC7E22"/>
    <w:rsid w:val="00DD029F"/>
    <w:rsid w:val="00DD27E5"/>
    <w:rsid w:val="00DD35B4"/>
    <w:rsid w:val="00DD58A8"/>
    <w:rsid w:val="00DD6F1F"/>
    <w:rsid w:val="00DD77B6"/>
    <w:rsid w:val="00DE1E9F"/>
    <w:rsid w:val="00DF50D7"/>
    <w:rsid w:val="00DF564D"/>
    <w:rsid w:val="00DF6DA2"/>
    <w:rsid w:val="00E00D31"/>
    <w:rsid w:val="00E067ED"/>
    <w:rsid w:val="00E06E90"/>
    <w:rsid w:val="00E06EFA"/>
    <w:rsid w:val="00E11A47"/>
    <w:rsid w:val="00E1592F"/>
    <w:rsid w:val="00E2324B"/>
    <w:rsid w:val="00E26C0B"/>
    <w:rsid w:val="00E33756"/>
    <w:rsid w:val="00E3428A"/>
    <w:rsid w:val="00E34AE5"/>
    <w:rsid w:val="00E37E94"/>
    <w:rsid w:val="00E42665"/>
    <w:rsid w:val="00E44229"/>
    <w:rsid w:val="00E477FE"/>
    <w:rsid w:val="00E57E15"/>
    <w:rsid w:val="00E631AA"/>
    <w:rsid w:val="00E639BD"/>
    <w:rsid w:val="00E65C4F"/>
    <w:rsid w:val="00E6763D"/>
    <w:rsid w:val="00E71900"/>
    <w:rsid w:val="00E74123"/>
    <w:rsid w:val="00E77A26"/>
    <w:rsid w:val="00E77EEE"/>
    <w:rsid w:val="00E84B03"/>
    <w:rsid w:val="00E8657D"/>
    <w:rsid w:val="00E90F01"/>
    <w:rsid w:val="00E92026"/>
    <w:rsid w:val="00EA3624"/>
    <w:rsid w:val="00EA58CB"/>
    <w:rsid w:val="00EB024F"/>
    <w:rsid w:val="00EB0AEE"/>
    <w:rsid w:val="00EB55B1"/>
    <w:rsid w:val="00EB6391"/>
    <w:rsid w:val="00EB7D68"/>
    <w:rsid w:val="00EC5840"/>
    <w:rsid w:val="00EC6145"/>
    <w:rsid w:val="00ED1502"/>
    <w:rsid w:val="00EE1165"/>
    <w:rsid w:val="00EE5904"/>
    <w:rsid w:val="00EE5B64"/>
    <w:rsid w:val="00EE6B71"/>
    <w:rsid w:val="00EE6BC1"/>
    <w:rsid w:val="00EF0D57"/>
    <w:rsid w:val="00EF57B5"/>
    <w:rsid w:val="00F02F2E"/>
    <w:rsid w:val="00F05401"/>
    <w:rsid w:val="00F05499"/>
    <w:rsid w:val="00F10877"/>
    <w:rsid w:val="00F1608A"/>
    <w:rsid w:val="00F22FDD"/>
    <w:rsid w:val="00F2411E"/>
    <w:rsid w:val="00F350A1"/>
    <w:rsid w:val="00F370D6"/>
    <w:rsid w:val="00F37DFA"/>
    <w:rsid w:val="00F37EFF"/>
    <w:rsid w:val="00F42E98"/>
    <w:rsid w:val="00F521EC"/>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3B5"/>
    <w:rsid w:val="00FC7D50"/>
    <w:rsid w:val="00FD1657"/>
    <w:rsid w:val="00FD1BD7"/>
    <w:rsid w:val="00FD48B9"/>
    <w:rsid w:val="00FD4FC8"/>
    <w:rsid w:val="00FD573B"/>
    <w:rsid w:val="00FE1EFB"/>
    <w:rsid w:val="00FE7483"/>
    <w:rsid w:val="00FF2D56"/>
    <w:rsid w:val="00FF75AF"/>
    <w:rsid w:val="011D3A17"/>
    <w:rsid w:val="01DC7DC2"/>
    <w:rsid w:val="02E80AFB"/>
    <w:rsid w:val="039E1E9A"/>
    <w:rsid w:val="03DC738D"/>
    <w:rsid w:val="052E1963"/>
    <w:rsid w:val="05CD7297"/>
    <w:rsid w:val="05F82552"/>
    <w:rsid w:val="060428BB"/>
    <w:rsid w:val="084A5DB4"/>
    <w:rsid w:val="08BB4883"/>
    <w:rsid w:val="08C831DF"/>
    <w:rsid w:val="08C8623A"/>
    <w:rsid w:val="08E72603"/>
    <w:rsid w:val="0A337BD1"/>
    <w:rsid w:val="0A5A671C"/>
    <w:rsid w:val="0AB1153C"/>
    <w:rsid w:val="0B5A00BC"/>
    <w:rsid w:val="0CAB1AD3"/>
    <w:rsid w:val="0D3112F1"/>
    <w:rsid w:val="0D4F03F1"/>
    <w:rsid w:val="0E1552F6"/>
    <w:rsid w:val="0F5B1C05"/>
    <w:rsid w:val="118607FF"/>
    <w:rsid w:val="11DF51CC"/>
    <w:rsid w:val="12D21650"/>
    <w:rsid w:val="14DF0B8D"/>
    <w:rsid w:val="150751F6"/>
    <w:rsid w:val="15B91F4C"/>
    <w:rsid w:val="15EF58A5"/>
    <w:rsid w:val="163C1406"/>
    <w:rsid w:val="187B4988"/>
    <w:rsid w:val="18CA7992"/>
    <w:rsid w:val="19F364A3"/>
    <w:rsid w:val="1A385A6D"/>
    <w:rsid w:val="1A5959E3"/>
    <w:rsid w:val="1B92A249"/>
    <w:rsid w:val="1BC65005"/>
    <w:rsid w:val="1CCE794A"/>
    <w:rsid w:val="1E211E8B"/>
    <w:rsid w:val="1E586A37"/>
    <w:rsid w:val="1F4C28EC"/>
    <w:rsid w:val="1F7E34F3"/>
    <w:rsid w:val="1FA91802"/>
    <w:rsid w:val="20413950"/>
    <w:rsid w:val="20EC0F07"/>
    <w:rsid w:val="218477E9"/>
    <w:rsid w:val="21C500EA"/>
    <w:rsid w:val="22DE117B"/>
    <w:rsid w:val="23314077"/>
    <w:rsid w:val="23EB441F"/>
    <w:rsid w:val="24A51F50"/>
    <w:rsid w:val="26191E7F"/>
    <w:rsid w:val="26BE3E10"/>
    <w:rsid w:val="274F2647"/>
    <w:rsid w:val="27615148"/>
    <w:rsid w:val="279D4174"/>
    <w:rsid w:val="283F223F"/>
    <w:rsid w:val="29AC45B2"/>
    <w:rsid w:val="2AA2645A"/>
    <w:rsid w:val="2ADA7A23"/>
    <w:rsid w:val="2B061705"/>
    <w:rsid w:val="2B25716C"/>
    <w:rsid w:val="2C480DD8"/>
    <w:rsid w:val="2C9E20A7"/>
    <w:rsid w:val="2D16699F"/>
    <w:rsid w:val="2D5B3822"/>
    <w:rsid w:val="2D713318"/>
    <w:rsid w:val="2D7F741D"/>
    <w:rsid w:val="2F3B1E6D"/>
    <w:rsid w:val="2F9C4AEB"/>
    <w:rsid w:val="30D40E2B"/>
    <w:rsid w:val="31C84563"/>
    <w:rsid w:val="3227052A"/>
    <w:rsid w:val="3260395B"/>
    <w:rsid w:val="333555BE"/>
    <w:rsid w:val="345C0152"/>
    <w:rsid w:val="366579CC"/>
    <w:rsid w:val="36BE7944"/>
    <w:rsid w:val="375A07AC"/>
    <w:rsid w:val="377EC941"/>
    <w:rsid w:val="37A15C48"/>
    <w:rsid w:val="38F449D9"/>
    <w:rsid w:val="3B052D11"/>
    <w:rsid w:val="3C360B6C"/>
    <w:rsid w:val="3D096371"/>
    <w:rsid w:val="3D327124"/>
    <w:rsid w:val="3E976956"/>
    <w:rsid w:val="3ED656D0"/>
    <w:rsid w:val="3F9D2EF0"/>
    <w:rsid w:val="3FA27361"/>
    <w:rsid w:val="3FDA6891"/>
    <w:rsid w:val="4069666C"/>
    <w:rsid w:val="4295286B"/>
    <w:rsid w:val="43467256"/>
    <w:rsid w:val="434A21E9"/>
    <w:rsid w:val="44DC50C3"/>
    <w:rsid w:val="44E52293"/>
    <w:rsid w:val="48023B63"/>
    <w:rsid w:val="490C57F6"/>
    <w:rsid w:val="49503E81"/>
    <w:rsid w:val="49D547D7"/>
    <w:rsid w:val="49F24FB7"/>
    <w:rsid w:val="4B3C6CF0"/>
    <w:rsid w:val="4B9471DF"/>
    <w:rsid w:val="4C261240"/>
    <w:rsid w:val="4D9B4D8C"/>
    <w:rsid w:val="506A289D"/>
    <w:rsid w:val="514F2834"/>
    <w:rsid w:val="522862E8"/>
    <w:rsid w:val="522B3A8C"/>
    <w:rsid w:val="52801071"/>
    <w:rsid w:val="54AA682D"/>
    <w:rsid w:val="561F055B"/>
    <w:rsid w:val="56535401"/>
    <w:rsid w:val="56934C7E"/>
    <w:rsid w:val="58790890"/>
    <w:rsid w:val="589B1595"/>
    <w:rsid w:val="58AA6611"/>
    <w:rsid w:val="58C26C6A"/>
    <w:rsid w:val="592D2EDE"/>
    <w:rsid w:val="59917543"/>
    <w:rsid w:val="5AF0321E"/>
    <w:rsid w:val="5DAC63E7"/>
    <w:rsid w:val="5F7F3942"/>
    <w:rsid w:val="5FD924D3"/>
    <w:rsid w:val="61FA4982"/>
    <w:rsid w:val="636F54AF"/>
    <w:rsid w:val="645A0654"/>
    <w:rsid w:val="655A5E64"/>
    <w:rsid w:val="66D87988"/>
    <w:rsid w:val="66DA2274"/>
    <w:rsid w:val="67704E75"/>
    <w:rsid w:val="69217634"/>
    <w:rsid w:val="693F7D11"/>
    <w:rsid w:val="697D1862"/>
    <w:rsid w:val="697D5EA3"/>
    <w:rsid w:val="69D63CA9"/>
    <w:rsid w:val="69FE49DF"/>
    <w:rsid w:val="6A2B0953"/>
    <w:rsid w:val="6AB60C9F"/>
    <w:rsid w:val="6B6928BA"/>
    <w:rsid w:val="6C6D0B73"/>
    <w:rsid w:val="6D726B21"/>
    <w:rsid w:val="6ED3110B"/>
    <w:rsid w:val="6FA73B2B"/>
    <w:rsid w:val="6FFFFED7"/>
    <w:rsid w:val="70DF63AC"/>
    <w:rsid w:val="714176D0"/>
    <w:rsid w:val="71F70629"/>
    <w:rsid w:val="7298446F"/>
    <w:rsid w:val="72FE35C7"/>
    <w:rsid w:val="76B74BDC"/>
    <w:rsid w:val="77CFA902"/>
    <w:rsid w:val="79374622"/>
    <w:rsid w:val="797B32F8"/>
    <w:rsid w:val="7AEBDB68"/>
    <w:rsid w:val="7BAC3439"/>
    <w:rsid w:val="7C013318"/>
    <w:rsid w:val="7C7E0232"/>
    <w:rsid w:val="7CCBAD7C"/>
    <w:rsid w:val="7DFD2150"/>
    <w:rsid w:val="7EB02B41"/>
    <w:rsid w:val="7F4E0211"/>
    <w:rsid w:val="7F6C52BE"/>
    <w:rsid w:val="7F9A1AF5"/>
    <w:rsid w:val="7FFF816A"/>
    <w:rsid w:val="BB52596C"/>
    <w:rsid w:val="CFFFB922"/>
    <w:rsid w:val="F29B3B9E"/>
    <w:rsid w:val="FBEF32AA"/>
    <w:rsid w:val="FFFF40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apple-style-span"/>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12</Pages>
  <Words>1958</Words>
  <Characters>2023</Characters>
  <Lines>35</Lines>
  <Paragraphs>9</Paragraphs>
  <TotalTime>29</TotalTime>
  <ScaleCrop>false</ScaleCrop>
  <LinksUpToDate>false</LinksUpToDate>
  <CharactersWithSpaces>2025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2024-08-09T14:37:00Z</dcterms:created>
  <dc:creator>雨林木风</dc:creator>
  <cp:lastModifiedBy>洪波</cp:lastModifiedBy>
  <cp:lastPrinted>2025-07-03T02:15:31Z</cp:lastPrinted>
  <dcterms:modified xsi:type="dcterms:W3CDTF">2025-07-03T03:51:43Z</dcterms:modified>
  <dc:title>青山区N地块旧城区改建项目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FEBA814E32BE4FEE81F31D441D751F19_13</vt:lpwstr>
  </property>
  <property fmtid="{D5CDD505-2E9C-101B-9397-08002B2CF9AE}" pid="4" name="KSOTemplateDocerSaveRecord">
    <vt:lpwstr>eyJoZGlkIjoiMTQ1YWI5YmVkMTYwMzMyMDgzYjg3NDNlYmE2ZDg1NjYiLCJ1c2VySWQiOiIxOTYxMDEyNTMifQ==</vt:lpwstr>
  </property>
</Properties>
</file>