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9FDC5">
      <w:pPr>
        <w:snapToGrid w:val="0"/>
        <w:spacing w:line="600" w:lineRule="exact"/>
        <w:jc w:val="both"/>
        <w:rPr>
          <w:rFonts w:hint="eastAsia" w:ascii="华文中宋" w:hAnsi="华文中宋" w:eastAsia="华文中宋" w:cs="华文中宋"/>
          <w:b/>
          <w:bCs/>
          <w:spacing w:val="11"/>
          <w:sz w:val="32"/>
          <w:szCs w:val="32"/>
          <w:lang w:val="en-US" w:eastAsia="zh-CN"/>
        </w:rPr>
      </w:pPr>
      <w:r>
        <w:rPr>
          <w:rFonts w:hint="eastAsia" w:ascii="华文中宋" w:hAnsi="华文中宋" w:eastAsia="华文中宋" w:cs="华文中宋"/>
          <w:b/>
          <w:bCs/>
          <w:spacing w:val="11"/>
          <w:sz w:val="32"/>
          <w:szCs w:val="32"/>
          <w:lang w:val="en-US" w:eastAsia="zh-CN"/>
        </w:rPr>
        <w:t>附件</w:t>
      </w:r>
    </w:p>
    <w:p w14:paraId="0B695DB0">
      <w:pPr>
        <w:snapToGrid w:val="0"/>
        <w:spacing w:line="600" w:lineRule="exact"/>
        <w:jc w:val="both"/>
        <w:rPr>
          <w:rFonts w:hint="default" w:ascii="华文中宋" w:hAnsi="华文中宋" w:eastAsia="华文中宋" w:cs="华文中宋"/>
          <w:spacing w:val="11"/>
          <w:sz w:val="32"/>
          <w:szCs w:val="32"/>
          <w:lang w:val="en-US" w:eastAsia="zh-CN"/>
        </w:rPr>
      </w:pPr>
    </w:p>
    <w:p w14:paraId="6DE4ED10">
      <w:pPr>
        <w:snapToGrid w:val="0"/>
        <w:spacing w:line="600" w:lineRule="exact"/>
        <w:ind w:right="479" w:rightChars="228" w:firstLine="420"/>
        <w:jc w:val="center"/>
        <w:rPr>
          <w:rFonts w:hint="eastAsia" w:ascii="华文中宋" w:hAnsi="华文中宋" w:eastAsia="华文中宋" w:cs="华文中宋"/>
          <w:spacing w:val="11"/>
          <w:sz w:val="44"/>
          <w:szCs w:val="44"/>
        </w:rPr>
      </w:pPr>
      <w:r>
        <w:rPr>
          <w:rFonts w:hint="eastAsia" w:ascii="华文中宋" w:hAnsi="华文中宋" w:eastAsia="华文中宋" w:cs="华文中宋"/>
          <w:spacing w:val="11"/>
          <w:sz w:val="44"/>
          <w:szCs w:val="44"/>
        </w:rPr>
        <w:t>和平大道（工人村路-四环线）工程房屋征收项目征收补偿方案</w:t>
      </w:r>
    </w:p>
    <w:p w14:paraId="3A86E458">
      <w:pPr>
        <w:snapToGrid w:val="0"/>
        <w:spacing w:line="564" w:lineRule="exact"/>
        <w:ind w:firstLine="2880" w:firstLineChars="900"/>
        <w:jc w:val="both"/>
        <w:rPr>
          <w:rFonts w:hint="eastAsia" w:ascii="仿宋" w:hAnsi="仿宋" w:eastAsia="仿宋" w:cs="仿宋"/>
          <w:sz w:val="32"/>
          <w:szCs w:val="32"/>
          <w:lang w:val="en-US" w:eastAsia="zh-CN"/>
        </w:rPr>
      </w:pPr>
      <w:r>
        <w:rPr>
          <w:rFonts w:hint="eastAsia" w:ascii="仿宋" w:hAnsi="仿宋" w:eastAsia="仿宋" w:cs="仿宋"/>
          <w:sz w:val="32"/>
          <w:szCs w:val="32"/>
        </w:rPr>
        <w:t>（征求意见稿）</w:t>
      </w:r>
      <w:r>
        <w:rPr>
          <w:rFonts w:hint="eastAsia" w:ascii="仿宋" w:hAnsi="仿宋" w:eastAsia="仿宋" w:cs="仿宋"/>
          <w:sz w:val="32"/>
          <w:szCs w:val="32"/>
          <w:lang w:val="en-US" w:eastAsia="zh-CN"/>
        </w:rPr>
        <w:t xml:space="preserve"> </w:t>
      </w:r>
    </w:p>
    <w:p w14:paraId="39D1E8D8">
      <w:pPr>
        <w:snapToGrid w:val="0"/>
        <w:spacing w:line="564" w:lineRule="exact"/>
        <w:ind w:firstLine="643" w:firstLineChars="200"/>
        <w:rPr>
          <w:rFonts w:hint="eastAsia" w:ascii="仿宋_GB2312" w:eastAsia="仿宋_GB2312"/>
          <w:b/>
          <w:bCs/>
          <w:sz w:val="32"/>
          <w:szCs w:val="32"/>
        </w:rPr>
      </w:pPr>
      <w:bookmarkStart w:id="0" w:name="_GoBack"/>
      <w:bookmarkEnd w:id="0"/>
    </w:p>
    <w:p w14:paraId="6BADCB7E">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和平大道（工人村路-四环线）工程房屋征收项目国有土地上的房屋实施征收。该项目经武汉市发展和改革委员会《市发展改革委关于和平大道（工人村路—四环线）工程可行性研究报告（代项目建议书）的批复》（武发改审批服务〔2023〕41号），已在武汉市自然资源和规划局办理《建设项目用地预审与选址意见书》（武自规用〔2021〕009号）。为依法实施房屋征收补偿工作，保障被征收人、公有房屋承租人的合法权益，现制定该项目征收补偿方案。</w:t>
      </w:r>
    </w:p>
    <w:p w14:paraId="51D0B986">
      <w:pPr>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一、法律依据</w:t>
      </w:r>
    </w:p>
    <w:p w14:paraId="39BB5480">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61E0BC45">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2E69F39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w:t>
      </w:r>
    </w:p>
    <w:p w14:paraId="43596E0C">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4727BCEF">
      <w:pPr>
        <w:snapToGrid w:val="0"/>
        <w:spacing w:line="550" w:lineRule="exact"/>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rPr>
        <w:t>（五）《国有土地上房屋征收评估办法》（建房〔2011〕77号）</w:t>
      </w:r>
    </w:p>
    <w:p w14:paraId="19286F8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654731AB">
      <w:pPr>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二、基本情况</w:t>
      </w:r>
    </w:p>
    <w:p w14:paraId="0265334C">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（一）项目名称</w:t>
      </w:r>
    </w:p>
    <w:p w14:paraId="42278321">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和平大道（工人村路-四环线）工程房屋征收项目。</w:t>
      </w:r>
    </w:p>
    <w:p w14:paraId="4BD26C44">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（二）征收目的</w:t>
      </w:r>
    </w:p>
    <w:p w14:paraId="750AC5C2">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2E99C21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（三）征收范围</w:t>
      </w:r>
    </w:p>
    <w:p w14:paraId="4020566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详见征收范围图。</w:t>
      </w:r>
    </w:p>
    <w:p w14:paraId="614897C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（四）调查概况</w:t>
      </w:r>
    </w:p>
    <w:p w14:paraId="37D1541D">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该项目占地面积约</w:t>
      </w:r>
      <w:r>
        <w:rPr>
          <w:rFonts w:hint="eastAsia" w:ascii="仿宋" w:hAnsi="仿宋" w:eastAsia="仿宋" w:cs="仿宋"/>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200720</w:t>
      </w:r>
      <w:r>
        <w:rPr>
          <w:rFonts w:hint="eastAsia" w:ascii="仿宋" w:hAnsi="仿宋" w:eastAsia="仿宋" w:cs="仿宋"/>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平方米（最终以实测为准），征收总户数约</w:t>
      </w:r>
      <w:r>
        <w:rPr>
          <w:rFonts w:hint="eastAsia" w:ascii="仿宋" w:hAnsi="仿宋" w:eastAsia="仿宋" w:cs="仿宋"/>
          <w:color w:val="FF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仿宋" w:hAnsi="仿宋" w:eastAsia="仿宋" w:cs="仿宋"/>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户</w:t>
      </w:r>
      <w:r>
        <w:rPr>
          <w:rFonts w:hint="eastAsia" w:ascii="仿宋" w:hAnsi="仿宋" w:eastAsia="仿宋" w:cs="仿宋"/>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，征收房屋建筑面积约</w:t>
      </w:r>
      <w:r>
        <w:rPr>
          <w:rFonts w:hint="eastAsia" w:ascii="仿宋" w:hAnsi="仿宋" w:eastAsia="仿宋" w:cs="仿宋"/>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131.70</w:t>
      </w:r>
      <w:r>
        <w:rPr>
          <w:rFonts w:hint="eastAsia" w:ascii="仿宋" w:hAnsi="仿宋" w:eastAsia="仿宋" w:cs="仿宋"/>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平方米（具体数</w:t>
      </w:r>
      <w:r>
        <w:rPr>
          <w:rFonts w:hint="eastAsia" w:ascii="仿宋" w:hAnsi="仿宋" w:eastAsia="仿宋" w:cs="仿宋"/>
          <w:sz w:val="32"/>
          <w:szCs w:val="32"/>
        </w:rPr>
        <w:t>据均以审计结果为准）。</w:t>
      </w:r>
    </w:p>
    <w:p w14:paraId="48A9E713">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（五）房屋征收部门</w:t>
      </w:r>
    </w:p>
    <w:p w14:paraId="6148CCC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52CD9D2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（六）房屋征收实施单位</w:t>
      </w:r>
    </w:p>
    <w:p w14:paraId="367CFAE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武汉市青山区人民政府工人村街道办事处。</w:t>
      </w:r>
    </w:p>
    <w:p w14:paraId="36E37845">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（七）被征收人和公有房屋承租人</w:t>
      </w:r>
    </w:p>
    <w:p w14:paraId="61A08443">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4156C99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5E5E5682">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（八）被征收房屋建筑面积和房屋用途的认定</w:t>
      </w:r>
    </w:p>
    <w:p w14:paraId="0940B16A">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5778BB78">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（九）评估时点</w:t>
      </w:r>
    </w:p>
    <w:p w14:paraId="37305F3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评估时点为房屋征收决定公告之日。</w:t>
      </w:r>
    </w:p>
    <w:p w14:paraId="4EFD71EE">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（十）征收签约期限  </w:t>
      </w:r>
    </w:p>
    <w:p w14:paraId="2C925B9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5E7FA901">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三、非住宅房屋的补偿</w:t>
      </w:r>
    </w:p>
    <w:p w14:paraId="2C6B911B">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（一）补偿方式和被征收房屋价值补偿</w:t>
      </w:r>
    </w:p>
    <w:p w14:paraId="079E6AB2">
      <w:pPr>
        <w:snapToGrid w:val="0"/>
        <w:spacing w:line="550" w:lineRule="exact"/>
        <w:ind w:firstLine="640" w:firstLineChars="200"/>
        <w:contextualSpacing/>
        <w:rPr>
          <w:rFonts w:hint="eastAsia" w:ascii="仿宋" w:hAnsi="仿宋" w:eastAsia="仿宋" w:cs="仿宋"/>
          <w:sz w:val="32"/>
        </w:rPr>
      </w:pPr>
      <w:r>
        <w:rPr>
          <w:rFonts w:hint="eastAsia" w:ascii="仿宋" w:hAnsi="仿宋" w:eastAsia="仿宋" w:cs="仿宋"/>
          <w:sz w:val="32"/>
        </w:rPr>
        <w:t>被征收人可以选择货币补偿，也可以选择房屋产权调换。</w:t>
      </w:r>
    </w:p>
    <w:p w14:paraId="07071CE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0029608D">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07B450D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039C2103">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被征收人选择货币补偿的，房屋征收部门按被征收房屋价值向被征收人、公有房屋承租人支付货币补偿费。</w:t>
      </w:r>
    </w:p>
    <w:p w14:paraId="62237FE4">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1B4FB872">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7E5410AD">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rPr>
        <w:t>（2）非住宅</w:t>
      </w:r>
      <w:r>
        <w:rPr>
          <w:rFonts w:hint="eastAsia" w:ascii="仿宋" w:hAnsi="仿宋" w:eastAsia="仿宋" w:cs="仿宋"/>
          <w:sz w:val="32"/>
          <w:szCs w:val="32"/>
        </w:rPr>
        <w:t>产权调换房源：</w:t>
      </w:r>
    </w:p>
    <w:p w14:paraId="1087A1F9">
      <w:pPr>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非住宅产权调换房源（办公）为南干渠项目(名称暂定)期房，交房标准为毛坯房。</w:t>
      </w:r>
    </w:p>
    <w:p w14:paraId="0AFDF93F">
      <w:pPr>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房屋征收部门根据征收工作实际需要，可提供其他房源。</w:t>
      </w:r>
    </w:p>
    <w:p w14:paraId="44305ACF">
      <w:pPr>
        <w:snapToGrid w:val="0"/>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（二）直管、自管</w:t>
      </w:r>
      <w:r>
        <w:rPr>
          <w:rFonts w:hint="eastAsia" w:ascii="仿宋" w:hAnsi="仿宋" w:eastAsia="仿宋" w:cs="仿宋"/>
          <w:color w:val="000000"/>
          <w:sz w:val="32"/>
          <w:szCs w:val="32"/>
        </w:rPr>
        <w:t>公有非住宅</w:t>
      </w:r>
      <w:r>
        <w:rPr>
          <w:rFonts w:hint="eastAsia" w:ascii="仿宋" w:hAnsi="仿宋" w:eastAsia="仿宋" w:cs="仿宋"/>
          <w:sz w:val="32"/>
          <w:szCs w:val="32"/>
        </w:rPr>
        <w:t>房屋补偿</w:t>
      </w:r>
    </w:p>
    <w:p w14:paraId="5574B16B">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72C3C132">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0"/>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70818564">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（三）设备搬迁补偿</w:t>
      </w:r>
    </w:p>
    <w:p w14:paraId="708F0F62">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0BBC7100">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3E54929A">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（四）临时安置补偿</w:t>
      </w:r>
    </w:p>
    <w:p w14:paraId="60C2F00B">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38C5CAA7">
      <w:pPr>
        <w:snapToGrid w:val="0"/>
        <w:spacing w:line="55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788B772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（五）停产停业损失补偿</w:t>
      </w:r>
    </w:p>
    <w:p w14:paraId="7C649E1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4A01541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03F8B24C">
      <w:pPr>
        <w:numPr>
          <w:ilvl w:val="0"/>
          <w:numId w:val="1"/>
        </w:num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改变房屋用途的补助</w:t>
      </w:r>
    </w:p>
    <w:p w14:paraId="30B112D8">
      <w:pPr>
        <w:snapToGrid w:val="0"/>
        <w:spacing w:line="550" w:lineRule="exact"/>
        <w:ind w:firstLine="640" w:firstLineChars="200"/>
        <w:rPr>
          <w:rFonts w:hint="eastAsia" w:ascii="仿宋" w:hAnsi="仿宋" w:eastAsia="仿宋" w:cs="仿宋"/>
          <w:color w:val="FF0000"/>
          <w:sz w:val="32"/>
        </w:rPr>
      </w:pPr>
      <w:r>
        <w:rPr>
          <w:rFonts w:hint="eastAsia" w:ascii="仿宋" w:hAnsi="仿宋" w:eastAsia="仿宋" w:cs="仿宋"/>
          <w:sz w:val="32"/>
        </w:rPr>
        <w:t>在《武汉市国有土地上房屋征收与补偿实施办法》公布前（即2012年12月3日前），对被征收人、公有房屋承租人改变非住宅房屋用途已作为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按照两者价差的30%给予经营补助。</w:t>
      </w:r>
    </w:p>
    <w:p w14:paraId="6A8EEAC1">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四、房屋附属设施补偿</w:t>
      </w:r>
    </w:p>
    <w:p w14:paraId="54F2104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（一）室内装饰装修补偿：</w:t>
      </w:r>
    </w:p>
    <w:p w14:paraId="04FC670E">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67E61B8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（二）自行封闭阳台和搭建的夹层、假层、暗楼、无烟灶台、吊脚楼、外挑等的补偿：</w:t>
      </w:r>
    </w:p>
    <w:p w14:paraId="52D6161E">
      <w:pPr>
        <w:spacing w:line="160" w:lineRule="exact"/>
        <w:rPr>
          <w:rFonts w:hint="eastAsia" w:ascii="仿宋" w:hAnsi="仿宋" w:eastAsia="仿宋" w:cs="仿宋"/>
          <w:sz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414"/>
        <w:gridCol w:w="2208"/>
        <w:gridCol w:w="2495"/>
      </w:tblGrid>
      <w:tr w14:paraId="297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4096" w:type="dxa"/>
            <w:gridSpan w:val="2"/>
            <w:noWrap w:val="0"/>
            <w:vAlign w:val="center"/>
          </w:tcPr>
          <w:p w14:paraId="2013B7DD">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08" w:type="dxa"/>
            <w:noWrap w:val="0"/>
            <w:vAlign w:val="center"/>
          </w:tcPr>
          <w:p w14:paraId="0746A663">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495" w:type="dxa"/>
            <w:noWrap w:val="0"/>
            <w:vAlign w:val="center"/>
          </w:tcPr>
          <w:p w14:paraId="7FA50218">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05BE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82" w:type="dxa"/>
            <w:vMerge w:val="restart"/>
            <w:noWrap w:val="0"/>
            <w:vAlign w:val="center"/>
          </w:tcPr>
          <w:p w14:paraId="71E2ABF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14" w:type="dxa"/>
            <w:noWrap w:val="0"/>
            <w:vAlign w:val="center"/>
          </w:tcPr>
          <w:p w14:paraId="7021696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08" w:type="dxa"/>
            <w:noWrap w:val="0"/>
            <w:vAlign w:val="center"/>
          </w:tcPr>
          <w:p w14:paraId="53A95A9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495" w:type="dxa"/>
            <w:noWrap w:val="0"/>
            <w:vAlign w:val="center"/>
          </w:tcPr>
          <w:p w14:paraId="17607969">
            <w:pPr>
              <w:widowControl/>
              <w:spacing w:line="360" w:lineRule="exact"/>
              <w:rPr>
                <w:rFonts w:hint="eastAsia" w:ascii="仿宋" w:hAnsi="仿宋" w:eastAsia="仿宋" w:cs="仿宋"/>
                <w:kern w:val="0"/>
                <w:sz w:val="24"/>
              </w:rPr>
            </w:pPr>
          </w:p>
        </w:tc>
      </w:tr>
      <w:tr w14:paraId="0669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82" w:type="dxa"/>
            <w:vMerge w:val="continue"/>
            <w:noWrap w:val="0"/>
            <w:vAlign w:val="center"/>
          </w:tcPr>
          <w:p w14:paraId="56EE6CDE">
            <w:pPr>
              <w:widowControl/>
              <w:spacing w:line="360" w:lineRule="exact"/>
              <w:jc w:val="left"/>
              <w:rPr>
                <w:rFonts w:hint="eastAsia" w:ascii="仿宋" w:hAnsi="仿宋" w:eastAsia="仿宋" w:cs="仿宋"/>
                <w:kern w:val="0"/>
                <w:sz w:val="24"/>
              </w:rPr>
            </w:pPr>
          </w:p>
        </w:tc>
        <w:tc>
          <w:tcPr>
            <w:tcW w:w="2414" w:type="dxa"/>
            <w:noWrap w:val="0"/>
            <w:vAlign w:val="center"/>
          </w:tcPr>
          <w:p w14:paraId="76CDE3D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08" w:type="dxa"/>
            <w:noWrap w:val="0"/>
            <w:vAlign w:val="center"/>
          </w:tcPr>
          <w:p w14:paraId="48430A3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495" w:type="dxa"/>
            <w:noWrap w:val="0"/>
            <w:vAlign w:val="center"/>
          </w:tcPr>
          <w:p w14:paraId="0E183A39">
            <w:pPr>
              <w:widowControl/>
              <w:spacing w:line="360" w:lineRule="exact"/>
              <w:jc w:val="center"/>
              <w:rPr>
                <w:rFonts w:hint="eastAsia" w:ascii="仿宋" w:hAnsi="仿宋" w:eastAsia="仿宋" w:cs="仿宋"/>
                <w:kern w:val="0"/>
                <w:sz w:val="24"/>
              </w:rPr>
            </w:pPr>
          </w:p>
        </w:tc>
      </w:tr>
      <w:tr w14:paraId="63D5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82" w:type="dxa"/>
            <w:vMerge w:val="continue"/>
            <w:noWrap w:val="0"/>
            <w:vAlign w:val="center"/>
          </w:tcPr>
          <w:p w14:paraId="38CFB498">
            <w:pPr>
              <w:widowControl/>
              <w:spacing w:line="360" w:lineRule="exact"/>
              <w:jc w:val="left"/>
              <w:rPr>
                <w:rFonts w:hint="eastAsia" w:ascii="仿宋" w:hAnsi="仿宋" w:eastAsia="仿宋" w:cs="仿宋"/>
                <w:kern w:val="0"/>
                <w:sz w:val="24"/>
              </w:rPr>
            </w:pPr>
          </w:p>
        </w:tc>
        <w:tc>
          <w:tcPr>
            <w:tcW w:w="2414" w:type="dxa"/>
            <w:noWrap w:val="0"/>
            <w:vAlign w:val="center"/>
          </w:tcPr>
          <w:p w14:paraId="2B203C3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08" w:type="dxa"/>
            <w:noWrap w:val="0"/>
            <w:vAlign w:val="center"/>
          </w:tcPr>
          <w:p w14:paraId="65E35DB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495" w:type="dxa"/>
            <w:noWrap w:val="0"/>
            <w:vAlign w:val="center"/>
          </w:tcPr>
          <w:p w14:paraId="55657511">
            <w:pPr>
              <w:widowControl/>
              <w:spacing w:line="360" w:lineRule="exact"/>
              <w:jc w:val="center"/>
              <w:rPr>
                <w:rFonts w:hint="eastAsia" w:ascii="仿宋" w:hAnsi="仿宋" w:eastAsia="仿宋" w:cs="仿宋"/>
                <w:kern w:val="0"/>
                <w:sz w:val="24"/>
              </w:rPr>
            </w:pPr>
          </w:p>
        </w:tc>
      </w:tr>
      <w:tr w14:paraId="34C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82" w:type="dxa"/>
            <w:vMerge w:val="restart"/>
            <w:noWrap w:val="0"/>
            <w:vAlign w:val="center"/>
          </w:tcPr>
          <w:p w14:paraId="723EDF9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14" w:type="dxa"/>
            <w:noWrap w:val="0"/>
            <w:vAlign w:val="center"/>
          </w:tcPr>
          <w:p w14:paraId="002B979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08" w:type="dxa"/>
            <w:noWrap w:val="0"/>
            <w:vAlign w:val="center"/>
          </w:tcPr>
          <w:p w14:paraId="5CC10FD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495" w:type="dxa"/>
            <w:vMerge w:val="restart"/>
            <w:noWrap w:val="0"/>
            <w:vAlign w:val="center"/>
          </w:tcPr>
          <w:p w14:paraId="5779B8F2">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17EE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82" w:type="dxa"/>
            <w:vMerge w:val="continue"/>
            <w:noWrap w:val="0"/>
            <w:vAlign w:val="center"/>
          </w:tcPr>
          <w:p w14:paraId="2EA9DC29">
            <w:pPr>
              <w:widowControl/>
              <w:spacing w:line="360" w:lineRule="exact"/>
              <w:jc w:val="left"/>
              <w:rPr>
                <w:rFonts w:hint="eastAsia" w:ascii="仿宋" w:hAnsi="仿宋" w:eastAsia="仿宋" w:cs="仿宋"/>
                <w:kern w:val="0"/>
                <w:sz w:val="24"/>
              </w:rPr>
            </w:pPr>
          </w:p>
        </w:tc>
        <w:tc>
          <w:tcPr>
            <w:tcW w:w="2414" w:type="dxa"/>
            <w:noWrap w:val="0"/>
            <w:vAlign w:val="center"/>
          </w:tcPr>
          <w:p w14:paraId="686CFF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08" w:type="dxa"/>
            <w:noWrap w:val="0"/>
            <w:vAlign w:val="center"/>
          </w:tcPr>
          <w:p w14:paraId="723413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495" w:type="dxa"/>
            <w:vMerge w:val="continue"/>
            <w:noWrap w:val="0"/>
            <w:vAlign w:val="center"/>
          </w:tcPr>
          <w:p w14:paraId="6D879171">
            <w:pPr>
              <w:widowControl/>
              <w:spacing w:line="360" w:lineRule="exact"/>
              <w:jc w:val="left"/>
              <w:rPr>
                <w:rFonts w:hint="eastAsia" w:ascii="仿宋" w:hAnsi="仿宋" w:eastAsia="仿宋" w:cs="仿宋"/>
                <w:kern w:val="0"/>
                <w:sz w:val="24"/>
              </w:rPr>
            </w:pPr>
          </w:p>
        </w:tc>
      </w:tr>
      <w:tr w14:paraId="35A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82" w:type="dxa"/>
            <w:vMerge w:val="continue"/>
            <w:noWrap w:val="0"/>
            <w:vAlign w:val="center"/>
          </w:tcPr>
          <w:p w14:paraId="1BC8982B">
            <w:pPr>
              <w:widowControl/>
              <w:spacing w:line="360" w:lineRule="exact"/>
              <w:jc w:val="left"/>
              <w:rPr>
                <w:rFonts w:hint="eastAsia" w:ascii="仿宋" w:hAnsi="仿宋" w:eastAsia="仿宋" w:cs="仿宋"/>
                <w:kern w:val="0"/>
                <w:sz w:val="24"/>
              </w:rPr>
            </w:pPr>
          </w:p>
        </w:tc>
        <w:tc>
          <w:tcPr>
            <w:tcW w:w="2414" w:type="dxa"/>
            <w:noWrap w:val="0"/>
            <w:vAlign w:val="center"/>
          </w:tcPr>
          <w:p w14:paraId="71E2D2A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08" w:type="dxa"/>
            <w:noWrap w:val="0"/>
            <w:vAlign w:val="center"/>
          </w:tcPr>
          <w:p w14:paraId="6328A71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495" w:type="dxa"/>
            <w:vMerge w:val="continue"/>
            <w:noWrap w:val="0"/>
            <w:vAlign w:val="center"/>
          </w:tcPr>
          <w:p w14:paraId="0B79F84E">
            <w:pPr>
              <w:widowControl/>
              <w:spacing w:line="360" w:lineRule="exact"/>
              <w:jc w:val="left"/>
              <w:rPr>
                <w:rFonts w:hint="eastAsia" w:ascii="仿宋" w:hAnsi="仿宋" w:eastAsia="仿宋" w:cs="仿宋"/>
                <w:kern w:val="0"/>
                <w:sz w:val="24"/>
              </w:rPr>
            </w:pPr>
          </w:p>
        </w:tc>
      </w:tr>
      <w:tr w14:paraId="3D22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682" w:type="dxa"/>
            <w:vMerge w:val="continue"/>
            <w:noWrap w:val="0"/>
            <w:vAlign w:val="center"/>
          </w:tcPr>
          <w:p w14:paraId="5C1759A2">
            <w:pPr>
              <w:widowControl/>
              <w:spacing w:line="360" w:lineRule="exact"/>
              <w:jc w:val="left"/>
              <w:rPr>
                <w:rFonts w:hint="eastAsia" w:ascii="仿宋" w:hAnsi="仿宋" w:eastAsia="仿宋" w:cs="仿宋"/>
                <w:kern w:val="0"/>
                <w:sz w:val="24"/>
              </w:rPr>
            </w:pPr>
          </w:p>
        </w:tc>
        <w:tc>
          <w:tcPr>
            <w:tcW w:w="2414" w:type="dxa"/>
            <w:noWrap w:val="0"/>
            <w:vAlign w:val="center"/>
          </w:tcPr>
          <w:p w14:paraId="3405411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08" w:type="dxa"/>
            <w:noWrap w:val="0"/>
            <w:vAlign w:val="center"/>
          </w:tcPr>
          <w:p w14:paraId="0189570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495" w:type="dxa"/>
            <w:vMerge w:val="continue"/>
            <w:noWrap w:val="0"/>
            <w:vAlign w:val="center"/>
          </w:tcPr>
          <w:p w14:paraId="71EBCC75">
            <w:pPr>
              <w:widowControl/>
              <w:spacing w:line="360" w:lineRule="exact"/>
              <w:jc w:val="left"/>
              <w:rPr>
                <w:rFonts w:hint="eastAsia" w:ascii="仿宋" w:hAnsi="仿宋" w:eastAsia="仿宋" w:cs="仿宋"/>
                <w:kern w:val="0"/>
                <w:sz w:val="24"/>
              </w:rPr>
            </w:pPr>
          </w:p>
        </w:tc>
      </w:tr>
      <w:tr w14:paraId="1F5B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82" w:type="dxa"/>
            <w:noWrap w:val="0"/>
            <w:vAlign w:val="center"/>
          </w:tcPr>
          <w:p w14:paraId="31668DE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14" w:type="dxa"/>
            <w:noWrap w:val="0"/>
            <w:vAlign w:val="center"/>
          </w:tcPr>
          <w:p w14:paraId="7DA6B85B">
            <w:pPr>
              <w:widowControl/>
              <w:spacing w:line="360" w:lineRule="exact"/>
              <w:jc w:val="center"/>
              <w:rPr>
                <w:rFonts w:hint="eastAsia" w:ascii="仿宋" w:hAnsi="仿宋" w:eastAsia="仿宋" w:cs="仿宋"/>
                <w:kern w:val="0"/>
                <w:sz w:val="24"/>
              </w:rPr>
            </w:pPr>
          </w:p>
        </w:tc>
        <w:tc>
          <w:tcPr>
            <w:tcW w:w="2208" w:type="dxa"/>
            <w:noWrap w:val="0"/>
            <w:vAlign w:val="center"/>
          </w:tcPr>
          <w:p w14:paraId="1FB5709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495" w:type="dxa"/>
            <w:noWrap w:val="0"/>
            <w:vAlign w:val="center"/>
          </w:tcPr>
          <w:p w14:paraId="420E185B">
            <w:pPr>
              <w:widowControl/>
              <w:spacing w:line="360" w:lineRule="exact"/>
              <w:jc w:val="center"/>
              <w:rPr>
                <w:rFonts w:hint="eastAsia" w:ascii="仿宋" w:hAnsi="仿宋" w:eastAsia="仿宋" w:cs="仿宋"/>
                <w:kern w:val="0"/>
                <w:sz w:val="24"/>
              </w:rPr>
            </w:pPr>
          </w:p>
        </w:tc>
      </w:tr>
      <w:tr w14:paraId="572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82" w:type="dxa"/>
            <w:vMerge w:val="restart"/>
            <w:noWrap w:val="0"/>
            <w:vAlign w:val="center"/>
          </w:tcPr>
          <w:p w14:paraId="1CEB82A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14" w:type="dxa"/>
            <w:noWrap w:val="0"/>
            <w:vAlign w:val="center"/>
          </w:tcPr>
          <w:p w14:paraId="5A7BEFE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08" w:type="dxa"/>
            <w:noWrap w:val="0"/>
            <w:vAlign w:val="center"/>
          </w:tcPr>
          <w:p w14:paraId="310E6DF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495" w:type="dxa"/>
            <w:noWrap w:val="0"/>
            <w:vAlign w:val="center"/>
          </w:tcPr>
          <w:p w14:paraId="4F45A8C1">
            <w:pPr>
              <w:widowControl/>
              <w:spacing w:line="360" w:lineRule="exact"/>
              <w:jc w:val="center"/>
              <w:rPr>
                <w:rFonts w:hint="eastAsia" w:ascii="仿宋" w:hAnsi="仿宋" w:eastAsia="仿宋" w:cs="仿宋"/>
                <w:kern w:val="0"/>
                <w:sz w:val="24"/>
              </w:rPr>
            </w:pPr>
          </w:p>
        </w:tc>
      </w:tr>
      <w:tr w14:paraId="218B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82" w:type="dxa"/>
            <w:vMerge w:val="continue"/>
            <w:noWrap w:val="0"/>
            <w:vAlign w:val="center"/>
          </w:tcPr>
          <w:p w14:paraId="7331AED9">
            <w:pPr>
              <w:widowControl/>
              <w:spacing w:line="360" w:lineRule="exact"/>
              <w:jc w:val="left"/>
              <w:rPr>
                <w:rFonts w:hint="eastAsia" w:ascii="仿宋" w:hAnsi="仿宋" w:eastAsia="仿宋" w:cs="仿宋"/>
                <w:kern w:val="0"/>
                <w:sz w:val="24"/>
              </w:rPr>
            </w:pPr>
          </w:p>
        </w:tc>
        <w:tc>
          <w:tcPr>
            <w:tcW w:w="2414" w:type="dxa"/>
            <w:noWrap w:val="0"/>
            <w:vAlign w:val="center"/>
          </w:tcPr>
          <w:p w14:paraId="038ED4B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08" w:type="dxa"/>
            <w:noWrap w:val="0"/>
            <w:vAlign w:val="center"/>
          </w:tcPr>
          <w:p w14:paraId="3DE1279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495" w:type="dxa"/>
            <w:noWrap w:val="0"/>
            <w:vAlign w:val="center"/>
          </w:tcPr>
          <w:p w14:paraId="4A417CFE">
            <w:pPr>
              <w:widowControl/>
              <w:spacing w:line="360" w:lineRule="exact"/>
              <w:jc w:val="center"/>
              <w:rPr>
                <w:rFonts w:hint="eastAsia" w:ascii="仿宋" w:hAnsi="仿宋" w:eastAsia="仿宋" w:cs="仿宋"/>
                <w:kern w:val="0"/>
                <w:sz w:val="24"/>
              </w:rPr>
            </w:pPr>
          </w:p>
        </w:tc>
      </w:tr>
      <w:tr w14:paraId="78E2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2" w:type="dxa"/>
            <w:vMerge w:val="restart"/>
            <w:noWrap w:val="0"/>
            <w:vAlign w:val="center"/>
          </w:tcPr>
          <w:p w14:paraId="7A53834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14" w:type="dxa"/>
            <w:noWrap w:val="0"/>
            <w:vAlign w:val="center"/>
          </w:tcPr>
          <w:p w14:paraId="0E00330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08" w:type="dxa"/>
            <w:noWrap w:val="0"/>
            <w:vAlign w:val="center"/>
          </w:tcPr>
          <w:p w14:paraId="43F14D7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495" w:type="dxa"/>
            <w:vMerge w:val="restart"/>
            <w:noWrap w:val="0"/>
            <w:vAlign w:val="center"/>
          </w:tcPr>
          <w:p w14:paraId="29CE4571">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339C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682" w:type="dxa"/>
            <w:vMerge w:val="continue"/>
            <w:noWrap w:val="0"/>
            <w:vAlign w:val="center"/>
          </w:tcPr>
          <w:p w14:paraId="4F1FD70B">
            <w:pPr>
              <w:widowControl/>
              <w:spacing w:line="360" w:lineRule="exact"/>
              <w:jc w:val="left"/>
              <w:rPr>
                <w:rFonts w:hint="eastAsia" w:ascii="仿宋" w:hAnsi="仿宋" w:eastAsia="仿宋" w:cs="仿宋"/>
                <w:kern w:val="0"/>
                <w:sz w:val="24"/>
                <w:u w:val="single"/>
              </w:rPr>
            </w:pPr>
          </w:p>
        </w:tc>
        <w:tc>
          <w:tcPr>
            <w:tcW w:w="2414" w:type="dxa"/>
            <w:noWrap w:val="0"/>
            <w:vAlign w:val="center"/>
          </w:tcPr>
          <w:p w14:paraId="461A28D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08" w:type="dxa"/>
            <w:noWrap w:val="0"/>
            <w:vAlign w:val="center"/>
          </w:tcPr>
          <w:p w14:paraId="41D3F08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495" w:type="dxa"/>
            <w:vMerge w:val="continue"/>
            <w:noWrap w:val="0"/>
            <w:vAlign w:val="center"/>
          </w:tcPr>
          <w:p w14:paraId="16A8EF27">
            <w:pPr>
              <w:widowControl/>
              <w:spacing w:line="360" w:lineRule="exact"/>
              <w:jc w:val="center"/>
              <w:rPr>
                <w:rFonts w:hint="eastAsia" w:ascii="仿宋" w:hAnsi="仿宋" w:eastAsia="仿宋" w:cs="仿宋"/>
                <w:kern w:val="0"/>
                <w:sz w:val="24"/>
                <w:u w:val="single"/>
              </w:rPr>
            </w:pPr>
          </w:p>
        </w:tc>
      </w:tr>
      <w:tr w14:paraId="5A7F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82" w:type="dxa"/>
            <w:noWrap w:val="0"/>
            <w:vAlign w:val="center"/>
          </w:tcPr>
          <w:p w14:paraId="77FF7E9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14" w:type="dxa"/>
            <w:noWrap w:val="0"/>
            <w:vAlign w:val="center"/>
          </w:tcPr>
          <w:p w14:paraId="3ED4B98F">
            <w:pPr>
              <w:widowControl/>
              <w:spacing w:line="360" w:lineRule="exact"/>
              <w:jc w:val="center"/>
              <w:rPr>
                <w:rFonts w:hint="eastAsia" w:ascii="仿宋" w:hAnsi="仿宋" w:eastAsia="仿宋" w:cs="仿宋"/>
                <w:kern w:val="0"/>
                <w:sz w:val="24"/>
              </w:rPr>
            </w:pPr>
          </w:p>
        </w:tc>
        <w:tc>
          <w:tcPr>
            <w:tcW w:w="2208" w:type="dxa"/>
            <w:noWrap w:val="0"/>
            <w:vAlign w:val="center"/>
          </w:tcPr>
          <w:p w14:paraId="2CDB8BC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495" w:type="dxa"/>
            <w:noWrap w:val="0"/>
            <w:vAlign w:val="center"/>
          </w:tcPr>
          <w:p w14:paraId="25C7F2FC">
            <w:pPr>
              <w:widowControl/>
              <w:spacing w:line="360" w:lineRule="exact"/>
              <w:jc w:val="center"/>
              <w:rPr>
                <w:rFonts w:hint="eastAsia" w:ascii="仿宋" w:hAnsi="仿宋" w:eastAsia="仿宋" w:cs="仿宋"/>
                <w:kern w:val="0"/>
                <w:sz w:val="24"/>
              </w:rPr>
            </w:pPr>
          </w:p>
        </w:tc>
      </w:tr>
      <w:tr w14:paraId="5C5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82" w:type="dxa"/>
            <w:noWrap w:val="0"/>
            <w:vAlign w:val="center"/>
          </w:tcPr>
          <w:p w14:paraId="08A273D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14" w:type="dxa"/>
            <w:noWrap w:val="0"/>
            <w:vAlign w:val="center"/>
          </w:tcPr>
          <w:p w14:paraId="625EBC88">
            <w:pPr>
              <w:widowControl/>
              <w:spacing w:line="360" w:lineRule="exact"/>
              <w:jc w:val="center"/>
              <w:rPr>
                <w:rFonts w:hint="eastAsia" w:ascii="仿宋" w:hAnsi="仿宋" w:eastAsia="仿宋" w:cs="仿宋"/>
                <w:kern w:val="0"/>
                <w:sz w:val="24"/>
              </w:rPr>
            </w:pPr>
          </w:p>
        </w:tc>
        <w:tc>
          <w:tcPr>
            <w:tcW w:w="2208" w:type="dxa"/>
            <w:noWrap w:val="0"/>
            <w:vAlign w:val="center"/>
          </w:tcPr>
          <w:p w14:paraId="789730C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495" w:type="dxa"/>
            <w:noWrap w:val="0"/>
            <w:vAlign w:val="center"/>
          </w:tcPr>
          <w:p w14:paraId="1E8BD0F4">
            <w:pPr>
              <w:widowControl/>
              <w:spacing w:line="360" w:lineRule="exact"/>
              <w:jc w:val="center"/>
              <w:rPr>
                <w:rFonts w:hint="eastAsia" w:ascii="仿宋" w:hAnsi="仿宋" w:eastAsia="仿宋" w:cs="仿宋"/>
                <w:kern w:val="0"/>
                <w:sz w:val="24"/>
              </w:rPr>
            </w:pPr>
          </w:p>
        </w:tc>
      </w:tr>
      <w:tr w14:paraId="63FE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2" w:type="dxa"/>
            <w:vMerge w:val="restart"/>
            <w:noWrap w:val="0"/>
            <w:vAlign w:val="center"/>
          </w:tcPr>
          <w:p w14:paraId="21CACF6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14" w:type="dxa"/>
            <w:noWrap w:val="0"/>
            <w:vAlign w:val="center"/>
          </w:tcPr>
          <w:p w14:paraId="7F89998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08" w:type="dxa"/>
            <w:noWrap w:val="0"/>
            <w:vAlign w:val="center"/>
          </w:tcPr>
          <w:p w14:paraId="7BA669C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495" w:type="dxa"/>
            <w:vMerge w:val="restart"/>
            <w:noWrap w:val="0"/>
            <w:vAlign w:val="center"/>
          </w:tcPr>
          <w:p w14:paraId="21C73C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77AE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82" w:type="dxa"/>
            <w:vMerge w:val="continue"/>
            <w:noWrap w:val="0"/>
            <w:vAlign w:val="center"/>
          </w:tcPr>
          <w:p w14:paraId="1F08FA88">
            <w:pPr>
              <w:widowControl/>
              <w:jc w:val="left"/>
              <w:rPr>
                <w:rFonts w:hint="eastAsia" w:ascii="仿宋" w:hAnsi="仿宋" w:eastAsia="仿宋" w:cs="仿宋"/>
                <w:kern w:val="0"/>
                <w:sz w:val="24"/>
              </w:rPr>
            </w:pPr>
          </w:p>
        </w:tc>
        <w:tc>
          <w:tcPr>
            <w:tcW w:w="2414" w:type="dxa"/>
            <w:noWrap w:val="0"/>
            <w:vAlign w:val="center"/>
          </w:tcPr>
          <w:p w14:paraId="257CE04A">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08" w:type="dxa"/>
            <w:noWrap w:val="0"/>
            <w:vAlign w:val="center"/>
          </w:tcPr>
          <w:p w14:paraId="10530C80">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495" w:type="dxa"/>
            <w:vMerge w:val="continue"/>
            <w:noWrap w:val="0"/>
            <w:vAlign w:val="center"/>
          </w:tcPr>
          <w:p w14:paraId="1097E6D8">
            <w:pPr>
              <w:widowControl/>
              <w:jc w:val="left"/>
              <w:rPr>
                <w:rFonts w:hint="eastAsia" w:ascii="仿宋" w:hAnsi="仿宋" w:eastAsia="仿宋" w:cs="仿宋"/>
                <w:kern w:val="0"/>
                <w:sz w:val="24"/>
              </w:rPr>
            </w:pPr>
          </w:p>
        </w:tc>
      </w:tr>
    </w:tbl>
    <w:p w14:paraId="2AE46537">
      <w:pPr>
        <w:spacing w:line="564"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552A9FC6">
      <w:pPr>
        <w:spacing w:line="564" w:lineRule="exact"/>
        <w:ind w:firstLine="640" w:firstLineChars="200"/>
        <w:rPr>
          <w:rFonts w:hint="eastAsia" w:ascii="仿宋" w:hAnsi="仿宋" w:eastAsia="仿宋" w:cs="仿宋"/>
          <w:sz w:val="32"/>
        </w:rPr>
      </w:pPr>
      <w:r>
        <w:rPr>
          <w:rFonts w:hint="eastAsia" w:ascii="仿宋" w:hAnsi="仿宋" w:eastAsia="仿宋" w:cs="仿宋"/>
          <w:sz w:val="32"/>
        </w:rPr>
        <w:t>（三）附属物的补偿：</w:t>
      </w:r>
    </w:p>
    <w:p w14:paraId="2720A53D">
      <w:pPr>
        <w:spacing w:line="564"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744AEED9">
      <w:pPr>
        <w:spacing w:line="564" w:lineRule="exact"/>
        <w:ind w:firstLine="640" w:firstLineChars="200"/>
        <w:rPr>
          <w:rFonts w:hint="eastAsia" w:ascii="仿宋" w:hAnsi="仿宋" w:eastAsia="仿宋" w:cs="仿宋"/>
          <w:sz w:val="32"/>
        </w:rPr>
      </w:pPr>
      <w:r>
        <w:rPr>
          <w:rFonts w:hint="eastAsia" w:ascii="仿宋" w:hAnsi="仿宋" w:eastAsia="仿宋" w:cs="仿宋"/>
          <w:sz w:val="32"/>
        </w:rPr>
        <w:t>（四）附属设施的补偿：</w:t>
      </w:r>
    </w:p>
    <w:p w14:paraId="03573062">
      <w:pPr>
        <w:spacing w:line="564"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667B5ED0">
      <w:pPr>
        <w:spacing w:line="564"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67677989">
      <w:pPr>
        <w:spacing w:line="564"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1A8FCC96">
      <w:pPr>
        <w:spacing w:line="564"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2653B3B6">
      <w:pPr>
        <w:spacing w:line="564"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152B3E09">
      <w:pPr>
        <w:spacing w:line="564"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7758B49E">
      <w:pPr>
        <w:spacing w:line="564"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388F296D">
      <w:pPr>
        <w:spacing w:line="564"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697D1675">
      <w:pPr>
        <w:spacing w:line="564"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72553A35">
      <w:pPr>
        <w:spacing w:line="564"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70805B3F">
      <w:pPr>
        <w:spacing w:line="564" w:lineRule="exact"/>
        <w:ind w:firstLine="640" w:firstLineChars="200"/>
        <w:rPr>
          <w:rFonts w:hint="eastAsia" w:ascii="黑体" w:hAnsi="黑体" w:eastAsia="黑体" w:cs="黑体"/>
          <w:sz w:val="32"/>
        </w:rPr>
      </w:pPr>
      <w:r>
        <w:rPr>
          <w:rFonts w:hint="eastAsia" w:ascii="黑体" w:hAnsi="黑体" w:eastAsia="黑体" w:cs="黑体"/>
          <w:sz w:val="32"/>
        </w:rPr>
        <w:t>五、奖励</w:t>
      </w:r>
    </w:p>
    <w:p w14:paraId="2EEEA6F4">
      <w:pPr>
        <w:spacing w:line="564" w:lineRule="exact"/>
        <w:ind w:firstLine="1280" w:firstLineChars="400"/>
        <w:rPr>
          <w:rFonts w:hint="eastAsia" w:ascii="仿宋" w:hAnsi="仿宋" w:eastAsia="仿宋" w:cs="仿宋"/>
          <w:sz w:val="32"/>
        </w:rPr>
      </w:pPr>
      <w:r>
        <w:rPr>
          <w:rFonts w:hint="eastAsia" w:ascii="仿宋" w:hAnsi="仿宋" w:eastAsia="仿宋" w:cs="仿宋"/>
          <w:sz w:val="32"/>
        </w:rPr>
        <w:t>非住宅房屋签约奖励</w:t>
      </w:r>
    </w:p>
    <w:p w14:paraId="67FE1CFD">
      <w:pPr>
        <w:spacing w:line="564"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在签约期限内签订补偿协议的，给予签约奖励，标准为：</w:t>
      </w:r>
    </w:p>
    <w:p w14:paraId="12C01DB4">
      <w:pPr>
        <w:spacing w:line="564" w:lineRule="exact"/>
        <w:ind w:firstLine="640" w:firstLineChars="200"/>
        <w:rPr>
          <w:rFonts w:hint="eastAsia" w:ascii="仿宋" w:hAnsi="仿宋" w:eastAsia="仿宋" w:cs="仿宋"/>
          <w:sz w:val="32"/>
        </w:rPr>
      </w:pPr>
      <w:r>
        <w:rPr>
          <w:rFonts w:hint="eastAsia" w:ascii="仿宋" w:hAnsi="仿宋" w:eastAsia="仿宋" w:cs="仿宋"/>
          <w:sz w:val="32"/>
        </w:rPr>
        <w:t>被征收房屋建筑面积（包括未经登记建筑）小于1000</w:t>
      </w:r>
      <w:r>
        <w:rPr>
          <w:rFonts w:hint="eastAsia" w:ascii="仿宋" w:hAnsi="仿宋" w:eastAsia="仿宋" w:cs="仿宋"/>
          <w:sz w:val="32"/>
          <w:szCs w:val="32"/>
        </w:rPr>
        <w:t>平方米</w:t>
      </w:r>
      <w:r>
        <w:rPr>
          <w:rFonts w:hint="eastAsia" w:ascii="仿宋" w:hAnsi="仿宋" w:eastAsia="仿宋" w:cs="仿宋"/>
          <w:sz w:val="32"/>
        </w:rPr>
        <w:t>的,奖励人民币20000元/户；被征收房屋建筑面积大于等于1000</w:t>
      </w:r>
      <w:r>
        <w:rPr>
          <w:rFonts w:hint="eastAsia" w:ascii="仿宋" w:hAnsi="仿宋" w:eastAsia="仿宋" w:cs="仿宋"/>
          <w:sz w:val="32"/>
          <w:szCs w:val="32"/>
        </w:rPr>
        <w:t>平方米</w:t>
      </w:r>
      <w:r>
        <w:rPr>
          <w:rFonts w:hint="eastAsia" w:ascii="仿宋" w:hAnsi="仿宋" w:eastAsia="仿宋" w:cs="仿宋"/>
          <w:sz w:val="32"/>
        </w:rPr>
        <w:t>小于2000</w:t>
      </w:r>
      <w:r>
        <w:rPr>
          <w:rFonts w:hint="eastAsia" w:ascii="仿宋" w:hAnsi="仿宋" w:eastAsia="仿宋" w:cs="仿宋"/>
          <w:sz w:val="32"/>
          <w:szCs w:val="32"/>
        </w:rPr>
        <w:t>平方米</w:t>
      </w:r>
      <w:r>
        <w:rPr>
          <w:rFonts w:hint="eastAsia" w:ascii="仿宋" w:hAnsi="仿宋" w:eastAsia="仿宋" w:cs="仿宋"/>
          <w:sz w:val="32"/>
        </w:rPr>
        <w:t>的，奖励人民币40000元/户；被征收房屋建筑面积大于等于2000</w:t>
      </w:r>
      <w:r>
        <w:rPr>
          <w:rFonts w:hint="eastAsia" w:ascii="仿宋" w:hAnsi="仿宋" w:eastAsia="仿宋" w:cs="仿宋"/>
          <w:sz w:val="32"/>
          <w:szCs w:val="32"/>
        </w:rPr>
        <w:t>平方米</w:t>
      </w:r>
      <w:r>
        <w:rPr>
          <w:rFonts w:hint="eastAsia" w:ascii="仿宋" w:hAnsi="仿宋" w:eastAsia="仿宋" w:cs="仿宋"/>
          <w:sz w:val="32"/>
        </w:rPr>
        <w:t>小于5000</w:t>
      </w:r>
      <w:r>
        <w:rPr>
          <w:rFonts w:hint="eastAsia" w:ascii="仿宋" w:hAnsi="仿宋" w:eastAsia="仿宋" w:cs="仿宋"/>
          <w:sz w:val="32"/>
          <w:szCs w:val="32"/>
        </w:rPr>
        <w:t>平方米</w:t>
      </w:r>
      <w:r>
        <w:rPr>
          <w:rFonts w:hint="eastAsia" w:ascii="仿宋" w:hAnsi="仿宋" w:eastAsia="仿宋" w:cs="仿宋"/>
          <w:sz w:val="32"/>
        </w:rPr>
        <w:t>的，奖励人民币80000元/户；被征收房屋建筑面积大于等于5000</w:t>
      </w:r>
      <w:r>
        <w:rPr>
          <w:rFonts w:hint="eastAsia" w:ascii="仿宋" w:hAnsi="仿宋" w:eastAsia="仿宋" w:cs="仿宋"/>
          <w:sz w:val="32"/>
          <w:szCs w:val="32"/>
        </w:rPr>
        <w:t>平方米</w:t>
      </w:r>
      <w:r>
        <w:rPr>
          <w:rFonts w:hint="eastAsia" w:ascii="仿宋" w:hAnsi="仿宋" w:eastAsia="仿宋" w:cs="仿宋"/>
          <w:sz w:val="32"/>
        </w:rPr>
        <w:t>的,奖励人民币160000元/户。</w:t>
      </w:r>
    </w:p>
    <w:p w14:paraId="30C8367B">
      <w:pPr>
        <w:spacing w:line="564" w:lineRule="exact"/>
        <w:ind w:firstLine="640" w:firstLineChars="200"/>
        <w:rPr>
          <w:rFonts w:hint="eastAsia" w:ascii="黑体" w:hAnsi="黑体" w:eastAsia="黑体" w:cs="黑体"/>
          <w:sz w:val="32"/>
        </w:rPr>
      </w:pPr>
      <w:r>
        <w:rPr>
          <w:rFonts w:hint="eastAsia" w:ascii="黑体" w:hAnsi="黑体" w:eastAsia="黑体" w:cs="黑体"/>
          <w:sz w:val="32"/>
        </w:rPr>
        <w:t>六、其他事项</w:t>
      </w:r>
    </w:p>
    <w:p w14:paraId="0BE3AA9C">
      <w:pPr>
        <w:spacing w:line="564" w:lineRule="exact"/>
        <w:ind w:firstLine="640" w:firstLineChars="200"/>
        <w:rPr>
          <w:rFonts w:hint="eastAsia" w:ascii="仿宋" w:hAnsi="仿宋" w:eastAsia="仿宋" w:cs="仿宋"/>
          <w:sz w:val="32"/>
        </w:rPr>
      </w:pPr>
      <w:r>
        <w:rPr>
          <w:rFonts w:hint="eastAsia" w:ascii="仿宋" w:hAnsi="仿宋" w:eastAsia="仿宋" w:cs="仿宋"/>
          <w:sz w:val="32"/>
        </w:rPr>
        <w:t>（一）本方案未尽事宜按照国家及武汉市有关政策执行。</w:t>
      </w:r>
    </w:p>
    <w:p w14:paraId="095198A4">
      <w:pPr>
        <w:spacing w:line="564" w:lineRule="exact"/>
        <w:ind w:firstLine="640" w:firstLineChars="200"/>
        <w:rPr>
          <w:rFonts w:hint="eastAsia" w:ascii="仿宋" w:hAnsi="仿宋" w:eastAsia="仿宋" w:cs="仿宋"/>
        </w:rPr>
      </w:pPr>
      <w:r>
        <w:rPr>
          <w:rFonts w:hint="eastAsia" w:ascii="仿宋" w:hAnsi="仿宋" w:eastAsia="仿宋" w:cs="仿宋"/>
          <w:sz w:val="32"/>
        </w:rPr>
        <w:t>（二）本方案由武汉市青山区住房和城市更新局负责解释。</w:t>
      </w:r>
    </w:p>
    <w:p w14:paraId="3582C03A">
      <w:pPr>
        <w:rPr>
          <w:rFonts w:hint="eastAsia" w:ascii="仿宋" w:hAnsi="仿宋" w:eastAsia="仿宋" w:cs="仿宋"/>
        </w:rPr>
      </w:pPr>
    </w:p>
    <w:p w14:paraId="6E08853E">
      <w:pPr>
        <w:rPr>
          <w:rFonts w:hint="eastAsia" w:ascii="仿宋" w:hAnsi="仿宋" w:eastAsia="仿宋" w:cs="仿宋"/>
        </w:rPr>
      </w:pPr>
    </w:p>
    <w:p w14:paraId="17E4FE94">
      <w:pPr>
        <w:rPr>
          <w:rFonts w:hint="eastAsia" w:ascii="仿宋" w:hAnsi="仿宋" w:eastAsia="仿宋" w:cs="仿宋"/>
        </w:rPr>
      </w:pPr>
    </w:p>
    <w:p w14:paraId="0D7838AE">
      <w:pPr>
        <w:rPr>
          <w:rFonts w:hint="eastAsia" w:ascii="仿宋" w:hAnsi="仿宋" w:eastAsia="仿宋" w:cs="仿宋"/>
        </w:rPr>
      </w:pPr>
    </w:p>
    <w:p w14:paraId="782E8B7B">
      <w:pPr>
        <w:rPr>
          <w:rFonts w:hint="eastAsia" w:ascii="仿宋" w:hAnsi="仿宋" w:eastAsia="仿宋" w:cs="仿宋"/>
        </w:rPr>
      </w:pPr>
    </w:p>
    <w:p w14:paraId="074A058F">
      <w:pPr>
        <w:rPr>
          <w:rFonts w:hint="eastAsia" w:ascii="仿宋" w:hAnsi="仿宋" w:eastAsia="仿宋" w:cs="仿宋"/>
        </w:rPr>
      </w:pPr>
    </w:p>
    <w:p w14:paraId="72D57126">
      <w:pPr>
        <w:rPr>
          <w:rFonts w:hint="eastAsia" w:ascii="仿宋" w:hAnsi="仿宋" w:eastAsia="仿宋" w:cs="仿宋"/>
        </w:rPr>
      </w:pPr>
    </w:p>
    <w:p w14:paraId="18577B63">
      <w:pPr>
        <w:rPr>
          <w:rFonts w:hint="eastAsia" w:ascii="仿宋" w:hAnsi="仿宋" w:eastAsia="仿宋" w:cs="仿宋"/>
        </w:rPr>
      </w:pPr>
    </w:p>
    <w:p w14:paraId="3B6C5C51">
      <w:pPr>
        <w:rPr>
          <w:rFonts w:hint="eastAsia" w:ascii="仿宋" w:hAnsi="仿宋" w:eastAsia="仿宋" w:cs="仿宋"/>
        </w:rPr>
      </w:pPr>
    </w:p>
    <w:p w14:paraId="1A000F1B">
      <w:pPr>
        <w:rPr>
          <w:rFonts w:hint="eastAsia" w:ascii="仿宋" w:hAnsi="仿宋" w:eastAsia="仿宋" w:cs="仿宋"/>
        </w:rPr>
      </w:pPr>
    </w:p>
    <w:p w14:paraId="3E8940A6">
      <w:pPr>
        <w:rPr>
          <w:rFonts w:hint="eastAsia" w:ascii="仿宋" w:hAnsi="仿宋" w:eastAsia="仿宋" w:cs="仿宋"/>
        </w:rPr>
      </w:pPr>
    </w:p>
    <w:p w14:paraId="68DCEB93">
      <w:pPr>
        <w:rPr>
          <w:rFonts w:hint="eastAsia" w:ascii="仿宋" w:hAnsi="仿宋" w:eastAsia="仿宋" w:cs="仿宋"/>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2B100-49C2-486C-94BD-E7C2D102D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9DF20AEF-2858-44B3-9376-FEFF2BCD4E58}"/>
  </w:font>
  <w:font w:name="仿宋">
    <w:panose1 w:val="02010609060101010101"/>
    <w:charset w:val="86"/>
    <w:family w:val="modern"/>
    <w:pitch w:val="default"/>
    <w:sig w:usb0="800002BF" w:usb1="38CF7CFA" w:usb2="00000016" w:usb3="00000000" w:csb0="00040001" w:csb1="00000000"/>
    <w:embedRegular r:id="rId3" w:fontKey="{689CBD25-CB92-43A5-9C98-9D8EAA32CA3A}"/>
  </w:font>
  <w:font w:name="仿宋_GB2312">
    <w:panose1 w:val="02010609030101010101"/>
    <w:charset w:val="86"/>
    <w:family w:val="modern"/>
    <w:pitch w:val="default"/>
    <w:sig w:usb0="00000001" w:usb1="080E0000" w:usb2="00000000" w:usb3="00000000" w:csb0="00040000" w:csb1="00000000"/>
    <w:embedRegular r:id="rId4" w:fontKey="{B8C7038C-9535-43C8-B171-6B9AB8171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77D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62270">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14:paraId="72362270">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23A0">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14:paraId="6D277B9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FD0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6EDE7"/>
    <w:multiLevelType w:val="singleLevel"/>
    <w:tmpl w:val="6126EDE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ZWMzOGNlNzg5YjE4ZTk5ZGUwM2IxMTZjMTdhYzE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87"/>
    <w:rsid w:val="00105837"/>
    <w:rsid w:val="00106B95"/>
    <w:rsid w:val="0011343B"/>
    <w:rsid w:val="00114772"/>
    <w:rsid w:val="00114B65"/>
    <w:rsid w:val="00120F89"/>
    <w:rsid w:val="001215A2"/>
    <w:rsid w:val="00121640"/>
    <w:rsid w:val="00122346"/>
    <w:rsid w:val="00125FD7"/>
    <w:rsid w:val="0012648B"/>
    <w:rsid w:val="00133763"/>
    <w:rsid w:val="00135BE1"/>
    <w:rsid w:val="00141388"/>
    <w:rsid w:val="00146A7B"/>
    <w:rsid w:val="001560DB"/>
    <w:rsid w:val="0016264A"/>
    <w:rsid w:val="001637D0"/>
    <w:rsid w:val="00164FA7"/>
    <w:rsid w:val="00165050"/>
    <w:rsid w:val="00166118"/>
    <w:rsid w:val="00167BF6"/>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D3721"/>
    <w:rsid w:val="001D490B"/>
    <w:rsid w:val="001D677E"/>
    <w:rsid w:val="001D769F"/>
    <w:rsid w:val="001F5D60"/>
    <w:rsid w:val="001F7EA6"/>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20FB"/>
    <w:rsid w:val="003325BD"/>
    <w:rsid w:val="0033494B"/>
    <w:rsid w:val="00340FA6"/>
    <w:rsid w:val="0034105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4611"/>
    <w:rsid w:val="003979AF"/>
    <w:rsid w:val="003A5B98"/>
    <w:rsid w:val="003B018C"/>
    <w:rsid w:val="003B4A99"/>
    <w:rsid w:val="003B4CB2"/>
    <w:rsid w:val="003B7CB6"/>
    <w:rsid w:val="003C787B"/>
    <w:rsid w:val="003D0B14"/>
    <w:rsid w:val="003D258B"/>
    <w:rsid w:val="003D4522"/>
    <w:rsid w:val="003D5E07"/>
    <w:rsid w:val="003D6ECB"/>
    <w:rsid w:val="003E25D7"/>
    <w:rsid w:val="003E7F5A"/>
    <w:rsid w:val="003F029B"/>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40BD4"/>
    <w:rsid w:val="004440DF"/>
    <w:rsid w:val="0044459D"/>
    <w:rsid w:val="00444C8F"/>
    <w:rsid w:val="00445012"/>
    <w:rsid w:val="00452498"/>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7A7B"/>
    <w:rsid w:val="004D2B1E"/>
    <w:rsid w:val="004D2C5F"/>
    <w:rsid w:val="004D5C5E"/>
    <w:rsid w:val="004D65F1"/>
    <w:rsid w:val="004E06A4"/>
    <w:rsid w:val="004E1E6F"/>
    <w:rsid w:val="004E5F8C"/>
    <w:rsid w:val="004E6E8D"/>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70B0"/>
    <w:rsid w:val="0069776D"/>
    <w:rsid w:val="006978C0"/>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357CC"/>
    <w:rsid w:val="00741835"/>
    <w:rsid w:val="00741907"/>
    <w:rsid w:val="00745E0E"/>
    <w:rsid w:val="007515D9"/>
    <w:rsid w:val="00755363"/>
    <w:rsid w:val="0075601D"/>
    <w:rsid w:val="00761289"/>
    <w:rsid w:val="00761646"/>
    <w:rsid w:val="00762BF0"/>
    <w:rsid w:val="00767ACF"/>
    <w:rsid w:val="0077110E"/>
    <w:rsid w:val="00771809"/>
    <w:rsid w:val="007723E4"/>
    <w:rsid w:val="00772AE9"/>
    <w:rsid w:val="0077474F"/>
    <w:rsid w:val="00780579"/>
    <w:rsid w:val="00780F82"/>
    <w:rsid w:val="007816CE"/>
    <w:rsid w:val="00781CAA"/>
    <w:rsid w:val="00782061"/>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478F"/>
    <w:rsid w:val="007F1F17"/>
    <w:rsid w:val="007F4D0D"/>
    <w:rsid w:val="007F53D4"/>
    <w:rsid w:val="007F669B"/>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66F3"/>
    <w:rsid w:val="008A7D8F"/>
    <w:rsid w:val="008B11EB"/>
    <w:rsid w:val="008B6818"/>
    <w:rsid w:val="008C1C9D"/>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7229"/>
    <w:rsid w:val="009078AB"/>
    <w:rsid w:val="00910399"/>
    <w:rsid w:val="00910E82"/>
    <w:rsid w:val="00910E9A"/>
    <w:rsid w:val="00912B11"/>
    <w:rsid w:val="00914CE5"/>
    <w:rsid w:val="00915432"/>
    <w:rsid w:val="009163F2"/>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969DB"/>
    <w:rsid w:val="00997306"/>
    <w:rsid w:val="009A66CA"/>
    <w:rsid w:val="009A6990"/>
    <w:rsid w:val="009B1019"/>
    <w:rsid w:val="009B3016"/>
    <w:rsid w:val="009B4B20"/>
    <w:rsid w:val="009C0BF1"/>
    <w:rsid w:val="009C0D6D"/>
    <w:rsid w:val="009C4234"/>
    <w:rsid w:val="009C43CD"/>
    <w:rsid w:val="009D0E54"/>
    <w:rsid w:val="009D25AF"/>
    <w:rsid w:val="009D3497"/>
    <w:rsid w:val="009D363F"/>
    <w:rsid w:val="009E0502"/>
    <w:rsid w:val="009E13F7"/>
    <w:rsid w:val="009E1EB7"/>
    <w:rsid w:val="009E3FD5"/>
    <w:rsid w:val="009E5DF0"/>
    <w:rsid w:val="009E74AB"/>
    <w:rsid w:val="009F1265"/>
    <w:rsid w:val="009F2F71"/>
    <w:rsid w:val="009F6D7F"/>
    <w:rsid w:val="009F7447"/>
    <w:rsid w:val="00A01B1F"/>
    <w:rsid w:val="00A0425B"/>
    <w:rsid w:val="00A0505A"/>
    <w:rsid w:val="00A059BA"/>
    <w:rsid w:val="00A06747"/>
    <w:rsid w:val="00A129A2"/>
    <w:rsid w:val="00A158AF"/>
    <w:rsid w:val="00A20C67"/>
    <w:rsid w:val="00A233F3"/>
    <w:rsid w:val="00A2409D"/>
    <w:rsid w:val="00A32D86"/>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4E54"/>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6B1E"/>
    <w:rsid w:val="00B079EC"/>
    <w:rsid w:val="00B17153"/>
    <w:rsid w:val="00B17A3F"/>
    <w:rsid w:val="00B17BCC"/>
    <w:rsid w:val="00B25E59"/>
    <w:rsid w:val="00B27F99"/>
    <w:rsid w:val="00B33888"/>
    <w:rsid w:val="00B3418F"/>
    <w:rsid w:val="00B346F6"/>
    <w:rsid w:val="00B34912"/>
    <w:rsid w:val="00B40868"/>
    <w:rsid w:val="00B40E33"/>
    <w:rsid w:val="00B42040"/>
    <w:rsid w:val="00B457C2"/>
    <w:rsid w:val="00B55C98"/>
    <w:rsid w:val="00B57CC5"/>
    <w:rsid w:val="00B63C13"/>
    <w:rsid w:val="00B74221"/>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50BC"/>
    <w:rsid w:val="00BE57D8"/>
    <w:rsid w:val="00BE5BA6"/>
    <w:rsid w:val="00BF0915"/>
    <w:rsid w:val="00BF24DF"/>
    <w:rsid w:val="00BF2D86"/>
    <w:rsid w:val="00C03D27"/>
    <w:rsid w:val="00C04A2A"/>
    <w:rsid w:val="00C04C0F"/>
    <w:rsid w:val="00C064F2"/>
    <w:rsid w:val="00C06CC8"/>
    <w:rsid w:val="00C12338"/>
    <w:rsid w:val="00C22114"/>
    <w:rsid w:val="00C2295A"/>
    <w:rsid w:val="00C23F4D"/>
    <w:rsid w:val="00C26D91"/>
    <w:rsid w:val="00C33A72"/>
    <w:rsid w:val="00C346AB"/>
    <w:rsid w:val="00C34B62"/>
    <w:rsid w:val="00C42B0A"/>
    <w:rsid w:val="00C43A55"/>
    <w:rsid w:val="00C45130"/>
    <w:rsid w:val="00C45553"/>
    <w:rsid w:val="00C46FD7"/>
    <w:rsid w:val="00C47DC5"/>
    <w:rsid w:val="00C5250B"/>
    <w:rsid w:val="00C53010"/>
    <w:rsid w:val="00C54510"/>
    <w:rsid w:val="00C55B9D"/>
    <w:rsid w:val="00C55BBB"/>
    <w:rsid w:val="00C57696"/>
    <w:rsid w:val="00C60543"/>
    <w:rsid w:val="00C65175"/>
    <w:rsid w:val="00C674E1"/>
    <w:rsid w:val="00C7545E"/>
    <w:rsid w:val="00C81AF9"/>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95D"/>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50D7"/>
    <w:rsid w:val="00DF564D"/>
    <w:rsid w:val="00DF6DA2"/>
    <w:rsid w:val="00E067ED"/>
    <w:rsid w:val="00E06EFA"/>
    <w:rsid w:val="00E11A47"/>
    <w:rsid w:val="00E1592F"/>
    <w:rsid w:val="00E2324B"/>
    <w:rsid w:val="00E26C0B"/>
    <w:rsid w:val="00E3355F"/>
    <w:rsid w:val="00E33756"/>
    <w:rsid w:val="00E3428A"/>
    <w:rsid w:val="00E37E94"/>
    <w:rsid w:val="00E41618"/>
    <w:rsid w:val="00E42665"/>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411E"/>
    <w:rsid w:val="00F25363"/>
    <w:rsid w:val="00F26FD8"/>
    <w:rsid w:val="00F31C3D"/>
    <w:rsid w:val="00F350A1"/>
    <w:rsid w:val="00F370D6"/>
    <w:rsid w:val="00F37DFA"/>
    <w:rsid w:val="00F37EFF"/>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8B9"/>
    <w:rsid w:val="00FD4FC8"/>
    <w:rsid w:val="00FD573B"/>
    <w:rsid w:val="00FD62E7"/>
    <w:rsid w:val="00FE1EFB"/>
    <w:rsid w:val="00FE7483"/>
    <w:rsid w:val="00FF2D56"/>
    <w:rsid w:val="00FF75AF"/>
    <w:rsid w:val="01010DC0"/>
    <w:rsid w:val="01367ADD"/>
    <w:rsid w:val="01745FF5"/>
    <w:rsid w:val="01957316"/>
    <w:rsid w:val="019D75F7"/>
    <w:rsid w:val="02313956"/>
    <w:rsid w:val="028905F9"/>
    <w:rsid w:val="02B151EA"/>
    <w:rsid w:val="03632739"/>
    <w:rsid w:val="04296885"/>
    <w:rsid w:val="043427A3"/>
    <w:rsid w:val="04415E6D"/>
    <w:rsid w:val="044F1117"/>
    <w:rsid w:val="0453522B"/>
    <w:rsid w:val="04C51C83"/>
    <w:rsid w:val="052829F6"/>
    <w:rsid w:val="0643730D"/>
    <w:rsid w:val="06FF00E5"/>
    <w:rsid w:val="074E1BEF"/>
    <w:rsid w:val="07782E40"/>
    <w:rsid w:val="07BD4F13"/>
    <w:rsid w:val="088253FE"/>
    <w:rsid w:val="09724122"/>
    <w:rsid w:val="0983157E"/>
    <w:rsid w:val="099E28B0"/>
    <w:rsid w:val="09BE654F"/>
    <w:rsid w:val="09FE1B14"/>
    <w:rsid w:val="0A4B6E35"/>
    <w:rsid w:val="0A8637B4"/>
    <w:rsid w:val="0AB1153C"/>
    <w:rsid w:val="0AB57847"/>
    <w:rsid w:val="0B4337E5"/>
    <w:rsid w:val="0D6059DD"/>
    <w:rsid w:val="0D89438B"/>
    <w:rsid w:val="0D995A70"/>
    <w:rsid w:val="0DBC33FF"/>
    <w:rsid w:val="0F50730F"/>
    <w:rsid w:val="0FD02033"/>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A131847"/>
    <w:rsid w:val="1A205A2F"/>
    <w:rsid w:val="1C4C74A6"/>
    <w:rsid w:val="1CB4332A"/>
    <w:rsid w:val="1CDC2A2A"/>
    <w:rsid w:val="1D4C5C70"/>
    <w:rsid w:val="1DD3408B"/>
    <w:rsid w:val="1DF66BF8"/>
    <w:rsid w:val="1E8A2924"/>
    <w:rsid w:val="1F1F544D"/>
    <w:rsid w:val="1FA53874"/>
    <w:rsid w:val="1FAA328C"/>
    <w:rsid w:val="1FB406F1"/>
    <w:rsid w:val="1FB5160F"/>
    <w:rsid w:val="200B6E17"/>
    <w:rsid w:val="204F7882"/>
    <w:rsid w:val="20921E64"/>
    <w:rsid w:val="20AC74DA"/>
    <w:rsid w:val="20AE01CD"/>
    <w:rsid w:val="20B827A2"/>
    <w:rsid w:val="20D44126"/>
    <w:rsid w:val="20D57BBC"/>
    <w:rsid w:val="219A375E"/>
    <w:rsid w:val="224D3FBB"/>
    <w:rsid w:val="22957529"/>
    <w:rsid w:val="22BD6C42"/>
    <w:rsid w:val="240F669E"/>
    <w:rsid w:val="243E1878"/>
    <w:rsid w:val="245F7EA8"/>
    <w:rsid w:val="249662D1"/>
    <w:rsid w:val="24CA3ACE"/>
    <w:rsid w:val="250B253B"/>
    <w:rsid w:val="262C735E"/>
    <w:rsid w:val="263E1E43"/>
    <w:rsid w:val="268771FA"/>
    <w:rsid w:val="26FF47BB"/>
    <w:rsid w:val="270D5A29"/>
    <w:rsid w:val="274E52FB"/>
    <w:rsid w:val="27620A8F"/>
    <w:rsid w:val="27AF4E3E"/>
    <w:rsid w:val="27F14E73"/>
    <w:rsid w:val="2853095F"/>
    <w:rsid w:val="287D47BB"/>
    <w:rsid w:val="289420D5"/>
    <w:rsid w:val="29FE0490"/>
    <w:rsid w:val="2A176942"/>
    <w:rsid w:val="2A2A25FB"/>
    <w:rsid w:val="2AE6496D"/>
    <w:rsid w:val="2BA813D4"/>
    <w:rsid w:val="2C4D7543"/>
    <w:rsid w:val="2CC54818"/>
    <w:rsid w:val="2CEB4FFF"/>
    <w:rsid w:val="2CF61E37"/>
    <w:rsid w:val="2CFF066C"/>
    <w:rsid w:val="2D306F77"/>
    <w:rsid w:val="2D6E51C5"/>
    <w:rsid w:val="2E08144F"/>
    <w:rsid w:val="2F396887"/>
    <w:rsid w:val="2F3D4C69"/>
    <w:rsid w:val="30121E3C"/>
    <w:rsid w:val="305F1B4D"/>
    <w:rsid w:val="30B6207A"/>
    <w:rsid w:val="315D1F7D"/>
    <w:rsid w:val="322D548C"/>
    <w:rsid w:val="326049E1"/>
    <w:rsid w:val="3268667D"/>
    <w:rsid w:val="32F522F5"/>
    <w:rsid w:val="3332126F"/>
    <w:rsid w:val="33397294"/>
    <w:rsid w:val="334A6C01"/>
    <w:rsid w:val="338F7005"/>
    <w:rsid w:val="339235B1"/>
    <w:rsid w:val="34784FC7"/>
    <w:rsid w:val="347D4B77"/>
    <w:rsid w:val="35CA5443"/>
    <w:rsid w:val="364C65C2"/>
    <w:rsid w:val="36CC2B25"/>
    <w:rsid w:val="36F23152"/>
    <w:rsid w:val="371F5706"/>
    <w:rsid w:val="37AF3792"/>
    <w:rsid w:val="37C61A7B"/>
    <w:rsid w:val="38322A41"/>
    <w:rsid w:val="39466C47"/>
    <w:rsid w:val="39A527B5"/>
    <w:rsid w:val="3A2325A9"/>
    <w:rsid w:val="3A361B71"/>
    <w:rsid w:val="3B1A7B41"/>
    <w:rsid w:val="3B3B235D"/>
    <w:rsid w:val="3B902FB6"/>
    <w:rsid w:val="3BA91C9B"/>
    <w:rsid w:val="3C254D17"/>
    <w:rsid w:val="3C594B51"/>
    <w:rsid w:val="3D203667"/>
    <w:rsid w:val="3DA7402E"/>
    <w:rsid w:val="3E35213F"/>
    <w:rsid w:val="3F0E24F4"/>
    <w:rsid w:val="3F305696"/>
    <w:rsid w:val="3F967DE1"/>
    <w:rsid w:val="40B42A9D"/>
    <w:rsid w:val="40D466D5"/>
    <w:rsid w:val="40F17343"/>
    <w:rsid w:val="414324F8"/>
    <w:rsid w:val="414D6B19"/>
    <w:rsid w:val="418519FA"/>
    <w:rsid w:val="41C919E6"/>
    <w:rsid w:val="41EC6AFB"/>
    <w:rsid w:val="42092871"/>
    <w:rsid w:val="42811B47"/>
    <w:rsid w:val="42ED62DA"/>
    <w:rsid w:val="4327346E"/>
    <w:rsid w:val="43420FF6"/>
    <w:rsid w:val="43CA332A"/>
    <w:rsid w:val="44A40821"/>
    <w:rsid w:val="452242D2"/>
    <w:rsid w:val="467B3750"/>
    <w:rsid w:val="46CF3628"/>
    <w:rsid w:val="470F436D"/>
    <w:rsid w:val="47390BDC"/>
    <w:rsid w:val="474A792F"/>
    <w:rsid w:val="474E7D1A"/>
    <w:rsid w:val="488046C6"/>
    <w:rsid w:val="48F44E94"/>
    <w:rsid w:val="492C2636"/>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30B2E17"/>
    <w:rsid w:val="53A13E55"/>
    <w:rsid w:val="53EC042A"/>
    <w:rsid w:val="54042084"/>
    <w:rsid w:val="547A6AB3"/>
    <w:rsid w:val="55205C56"/>
    <w:rsid w:val="558C4615"/>
    <w:rsid w:val="55D44791"/>
    <w:rsid w:val="57DB381E"/>
    <w:rsid w:val="599923BD"/>
    <w:rsid w:val="59AC1F4B"/>
    <w:rsid w:val="5A1E43E7"/>
    <w:rsid w:val="5ABC576C"/>
    <w:rsid w:val="5B2A0381"/>
    <w:rsid w:val="5BE86016"/>
    <w:rsid w:val="5C666B0F"/>
    <w:rsid w:val="5CB70498"/>
    <w:rsid w:val="5CBD3291"/>
    <w:rsid w:val="5D015E23"/>
    <w:rsid w:val="5D05398F"/>
    <w:rsid w:val="5DCA77DC"/>
    <w:rsid w:val="5E4A02CB"/>
    <w:rsid w:val="5E7B4399"/>
    <w:rsid w:val="5FF64B50"/>
    <w:rsid w:val="60740AF6"/>
    <w:rsid w:val="609B00D0"/>
    <w:rsid w:val="60B71D43"/>
    <w:rsid w:val="617233CF"/>
    <w:rsid w:val="62233B87"/>
    <w:rsid w:val="622A1090"/>
    <w:rsid w:val="622B2271"/>
    <w:rsid w:val="626F420C"/>
    <w:rsid w:val="62740D28"/>
    <w:rsid w:val="62B84990"/>
    <w:rsid w:val="640C3779"/>
    <w:rsid w:val="649742DE"/>
    <w:rsid w:val="650F4991"/>
    <w:rsid w:val="65C7764C"/>
    <w:rsid w:val="67484FCE"/>
    <w:rsid w:val="676A3A2A"/>
    <w:rsid w:val="67BA66EE"/>
    <w:rsid w:val="67CB36F0"/>
    <w:rsid w:val="67FA7A1E"/>
    <w:rsid w:val="68473869"/>
    <w:rsid w:val="688C1CA1"/>
    <w:rsid w:val="69334486"/>
    <w:rsid w:val="695843F6"/>
    <w:rsid w:val="69CD44C1"/>
    <w:rsid w:val="69FE49DF"/>
    <w:rsid w:val="6A457CBB"/>
    <w:rsid w:val="6AD95A7D"/>
    <w:rsid w:val="6BC02799"/>
    <w:rsid w:val="6BE804CC"/>
    <w:rsid w:val="6C8C7FEB"/>
    <w:rsid w:val="6D490C1C"/>
    <w:rsid w:val="6DC57D4F"/>
    <w:rsid w:val="6E5050A7"/>
    <w:rsid w:val="6EEB5BB0"/>
    <w:rsid w:val="70184F76"/>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8960B1"/>
    <w:rsid w:val="789348AE"/>
    <w:rsid w:val="78AF606F"/>
    <w:rsid w:val="78DE573F"/>
    <w:rsid w:val="799C222E"/>
    <w:rsid w:val="7AEB688F"/>
    <w:rsid w:val="7BB51BEE"/>
    <w:rsid w:val="7C483F86"/>
    <w:rsid w:val="7D3043A8"/>
    <w:rsid w:val="7D3D6655"/>
    <w:rsid w:val="7D796738"/>
    <w:rsid w:val="7D7F7036"/>
    <w:rsid w:val="7EEC57A3"/>
    <w:rsid w:val="7F8608E0"/>
    <w:rsid w:val="7FE61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rPr>
  </w:style>
  <w:style w:type="paragraph" w:styleId="3">
    <w:name w:val="Balloon Text"/>
    <w:basedOn w:val="1"/>
    <w:qFormat/>
    <w:uiPriority w:val="0"/>
    <w:rPr>
      <w:sz w:val="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apple-style-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8</Pages>
  <Words>2791</Words>
  <Characters>2885</Characters>
  <Lines>25</Lines>
  <Paragraphs>7</Paragraphs>
  <TotalTime>186</TotalTime>
  <ScaleCrop>false</ScaleCrop>
  <LinksUpToDate>false</LinksUpToDate>
  <CharactersWithSpaces>2889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2018-01-10T05:46:00Z</dcterms:created>
  <dc:creator>雨林木风</dc:creator>
  <cp:lastModifiedBy>洪波</cp:lastModifiedBy>
  <cp:lastPrinted>2025-07-01T00:16:37Z</cp:lastPrinted>
  <dcterms:modified xsi:type="dcterms:W3CDTF">2025-07-01T01:01:55Z</dcterms:modified>
  <dc:title>青山区N地块旧城区改建项目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2809D7E73E8340778AC2D99A8DC8D89D_13</vt:lpwstr>
  </property>
  <property fmtid="{D5CDD505-2E9C-101B-9397-08002B2CF9AE}" pid="4" name="KSOTemplateDocerSaveRecord">
    <vt:lpwstr>eyJoZGlkIjoiMTQ1YWI5YmVkMTYwMzMyMDgzYjg3NDNlYmE2ZDg1NjYiLCJ1c2VySWQiOiIxOTYxMDEyNTMifQ==</vt:lpwstr>
  </property>
</Properties>
</file>